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80"/>
      </w:pPr>
      <w:r>
        <w:drawing>
          <wp:inline xmlns:a="http://schemas.openxmlformats.org/drawingml/2006/main" xmlns:pic="http://schemas.openxmlformats.org/drawingml/2006/picture">
            <wp:extent cx="329184" cy="275169"/>
            <wp:docPr id="1" name="Picture 1" descr="AITOC brand mark"/>
            <wp:cNvGraphicFramePr>
              <a:graphicFrameLocks noChangeAspect="1"/>
            </wp:cNvGraphicFramePr>
            <a:graphic>
              <a:graphicData uri="http://schemas.openxmlformats.org/drawingml/2006/picture">
                <pic:pic>
                  <pic:nvPicPr>
                    <pic:cNvPr id="0" name="aitoc-mark.png"/>
                    <pic:cNvPicPr/>
                  </pic:nvPicPr>
                  <pic:blipFill>
                    <a:blip r:embed="rId11"/>
                    <a:stretch>
                      <a:fillRect/>
                    </a:stretch>
                  </pic:blipFill>
                  <pic:spPr>
                    <a:xfrm>
                      <a:off x="0" y="0"/>
                      <a:ext cx="329184" cy="275169"/>
                    </a:xfrm>
                    <a:prstGeom prst="rect"/>
                  </pic:spPr>
                </pic:pic>
              </a:graphicData>
            </a:graphic>
          </wp:inline>
        </w:drawing>
      </w:r>
      <w:r>
        <w:rPr>
          <w:rFonts w:ascii="Arial" w:hAnsi="Arial" w:eastAsia="Arial"/>
          <w:b/>
          <w:color w:val="16171F"/>
          <w:sz w:val="34"/>
        </w:rPr>
        <w:t xml:space="preserve">  AITOC.io</w:t>
      </w:r>
    </w:p>
    <w:p>
      <w:pPr>
        <w:spacing w:after="200"/>
      </w:pPr>
      <w:r>
        <w:rPr>
          <w:rFonts w:ascii="Arial" w:hAnsi="Arial" w:eastAsia="Arial"/>
          <w:b/>
          <w:color w:val="8A5B00"/>
          <w:sz w:val="18"/>
        </w:rPr>
        <w:t>OPERATIONS TRAINING  /  HUMAN-EXECUTED SOPs</w:t>
      </w:r>
    </w:p>
    <w:p>
      <w:pPr>
        <w:pStyle w:val="Title"/>
      </w:pPr>
      <w:r>
        <w:t>SOP Creation Guideline</w:t>
      </w:r>
    </w:p>
    <w:p>
      <w:pPr>
        <w:pStyle w:val="Subtitle"/>
      </w:pPr>
      <w:r>
        <w:t>A short decision guide for turning real work into instructions people can execute.</w:t>
      </w:r>
    </w:p>
    <w:tbl>
      <w:tblPr>
        <w:tblW w:type="dxa" w:w="9360"/>
        <w:jc w:val="center"/>
        <w:tblLayout w:type="fixed"/>
        <w:tblLook w:firstColumn="1" w:firstRow="1" w:lastColumn="0" w:lastRow="0" w:noHBand="0" w:noVBand="1" w:val="04A0"/>
        <w:tblInd w:w="220" w:type="dxa"/>
        <w:tblBorders>
          <w:top w:val="single" w:sz="8" w:color="F2C14E"/>
          <w:start w:val="single" w:sz="8" w:color="F2C14E"/>
          <w:bottom w:val="single" w:sz="8" w:color="F2C14E"/>
          <w:end w:val="single" w:sz="8" w:color="F2C14E"/>
          <w:insideH w:val="single" w:sz="8" w:color="F2C14E"/>
          <w:insideV w:val="single" w:sz="8" w:color="F2C14E"/>
        </w:tblBorders>
      </w:tblPr>
      <w:tblGrid>
        <w:gridCol w:w="9360"/>
      </w:tblGrid>
      <w:tr>
        <w:trPr>
          <w:cantSplit/>
        </w:trPr>
        <w:tc>
          <w:tcPr>
            <w:tcW w:type="dxa" w:w="9360"/>
            <w:vAlign w:val="center"/>
            <w:tcMar>
              <w:top w:w="165" w:type="dxa"/>
              <w:start w:w="220" w:type="dxa"/>
              <w:bottom w:w="165" w:type="dxa"/>
              <w:end w:w="220" w:type="dxa"/>
            </w:tcMar>
            <w:shd w:fill="FFF7DF"/>
          </w:tcPr>
          <w:p>
            <w:pPr>
              <w:spacing w:before="0" w:after="0" w:line="288" w:lineRule="auto"/>
            </w:pPr>
            <w:r>
              <w:rPr>
                <w:rFonts w:ascii="Arial" w:hAnsi="Arial" w:eastAsia="Arial"/>
                <w:b/>
                <w:color w:val="8A5B00"/>
                <w:sz w:val="18"/>
              </w:rPr>
              <w:t xml:space="preserve">THE STANDARD  </w:t>
            </w:r>
            <w:r>
              <w:rPr>
                <w:rFonts w:ascii="Arial" w:hAnsi="Arial" w:eastAsia="Arial"/>
                <w:b/>
                <w:color w:val="16171F"/>
                <w:sz w:val="21"/>
              </w:rPr>
              <w:t>A qualified person who did not write the SOP completes the work correctly, safely, and without live coaching.</w:t>
            </w:r>
          </w:p>
        </w:tc>
      </w:tr>
    </w:tbl>
    <w:p>
      <w:pPr>
        <w:spacing w:before="0" w:after="80" w:line="240" w:lineRule="auto"/>
      </w:pPr>
      <w:r>
        <w:rPr>
          <w:rFonts w:ascii="Arial" w:hAnsi="Arial" w:eastAsia="Arial"/>
          <w:color w:val="FFFFFF"/>
          <w:sz w:val="2"/>
        </w:rPr>
        <w:t xml:space="preserve"> </w:t>
      </w:r>
    </w:p>
    <w:p>
      <w:pPr>
        <w:pStyle w:val="Heading2"/>
      </w:pPr>
      <w:r>
        <w:rPr>
          <w:rFonts w:ascii="Arial" w:hAnsi="Arial" w:eastAsia="Arial"/>
          <w:color w:val="8A5B00"/>
        </w:rPr>
        <w:t>Use the three files for three different jobs</w:t>
      </w:r>
    </w:p>
    <w:p>
      <w:pPr>
        <w:keepNext/>
        <w:spacing w:before="160" w:after="80"/>
      </w:pPr>
      <w:r>
        <w:rPr>
          <w:rFonts w:ascii="Arial" w:hAnsi="Arial" w:eastAsia="Arial"/>
          <w:b/>
          <w:color w:val="16171F"/>
          <w:sz w:val="23"/>
        </w:rPr>
        <w:t>1. Learn the decisions in this guide.</w:t>
      </w:r>
    </w:p>
    <w:p>
      <w:pPr>
        <w:spacing w:after="160" w:line="300" w:lineRule="auto"/>
      </w:pPr>
      <w:r>
        <w:rPr>
          <w:rFonts w:ascii="Arial" w:hAnsi="Arial" w:eastAsia="Arial"/>
          <w:color w:val="555B72"/>
          <w:sz w:val="22"/>
        </w:rPr>
        <w:t>Use these pages to decide what to document, what to remove, what evidence to collect, and when the SOP is ready.</w:t>
      </w:r>
    </w:p>
    <w:p>
      <w:pPr>
        <w:keepNext/>
        <w:spacing w:before="160" w:after="80"/>
      </w:pPr>
      <w:r>
        <w:rPr>
          <w:rFonts w:ascii="Arial" w:hAnsi="Arial" w:eastAsia="Arial"/>
          <w:b/>
          <w:color w:val="16171F"/>
          <w:sz w:val="23"/>
        </w:rPr>
        <w:t>2. Build in the blank template.</w:t>
      </w:r>
    </w:p>
    <w:p>
      <w:pPr>
        <w:spacing w:after="160" w:line="300" w:lineRule="auto"/>
      </w:pPr>
      <w:r>
        <w:rPr>
          <w:rFonts w:ascii="Arial" w:hAnsi="Arial" w:eastAsia="Arial"/>
          <w:color w:val="555B72"/>
          <w:sz w:val="22"/>
        </w:rPr>
        <w:t>Put the approved outcome, context, procedure, controls, proof, and ownership into the editable template supplied with this toolkit.</w:t>
      </w:r>
    </w:p>
    <w:p>
      <w:pPr>
        <w:keepNext/>
        <w:spacing w:before="160" w:after="80"/>
      </w:pPr>
      <w:r>
        <w:rPr>
          <w:rFonts w:ascii="Arial" w:hAnsi="Arial" w:eastAsia="Arial"/>
          <w:b/>
          <w:color w:val="16171F"/>
          <w:sz w:val="23"/>
        </w:rPr>
        <w:t>3. Compare with the worked example.</w:t>
      </w:r>
    </w:p>
    <w:p>
      <w:pPr>
        <w:spacing w:after="160" w:line="300" w:lineRule="auto"/>
      </w:pPr>
      <w:r>
        <w:rPr>
          <w:rFonts w:ascii="Arial" w:hAnsi="Arial" w:eastAsia="Arial"/>
          <w:color w:val="555B72"/>
          <w:sz w:val="22"/>
        </w:rPr>
        <w:t>Use the example to see how the pieces connect. Reuse its structure, never its organisation-specific facts or thresholds.</w:t>
      </w:r>
    </w:p>
    <w:tbl>
      <w:tblPr>
        <w:tblW w:type="dxa" w:w="9360"/>
        <w:jc w:val="center"/>
        <w:tblLayout w:type="fixed"/>
        <w:tblLook w:firstColumn="1" w:firstRow="1" w:lastColumn="0" w:lastRow="0" w:noHBand="0" w:noVBand="1" w:val="04A0"/>
        <w:tblInd w:w="180" w:type="dxa"/>
        <w:tblBorders>
          <w:top w:val="single" w:sz="4" w:color="D7D9E0"/>
          <w:start w:val="single" w:sz="4" w:color="D7D9E0"/>
          <w:bottom w:val="single" w:sz="4" w:color="D7D9E0"/>
          <w:end w:val="single" w:sz="4" w:color="D7D9E0"/>
          <w:insideH w:val="single" w:sz="4" w:color="D7D9E0"/>
          <w:insideV w:val="single" w:sz="4" w:color="D7D9E0"/>
        </w:tblBorders>
      </w:tblPr>
      <w:tblGrid>
        <w:gridCol w:w="2300"/>
        <w:gridCol w:w="7060"/>
      </w:tblGrid>
      <w:tr>
        <w:trPr>
          <w:cantSplit/>
          <w:tblHeader w:val="true"/>
        </w:trPr>
        <w:tc>
          <w:tcPr>
            <w:tcW w:type="dxa" w:w="2300"/>
            <w:vAlign w:val="center"/>
            <w:tcMar>
              <w:top w:w="140" w:type="dxa"/>
              <w:start w:w="180" w:type="dxa"/>
              <w:bottom w:w="140" w:type="dxa"/>
              <w:end w:w="180" w:type="dxa"/>
            </w:tcMar>
            <w:shd w:fill="16171F"/>
          </w:tcPr>
          <w:p>
            <w:r>
              <w:rPr>
                <w:rFonts w:ascii="Arial" w:hAnsi="Arial" w:eastAsia="Arial"/>
                <w:b/>
                <w:color w:val="FFFFFF"/>
                <w:sz w:val="17"/>
              </w:rPr>
              <w:t>DOCUMENT CONTROL</w:t>
            </w:r>
          </w:p>
        </w:tc>
        <w:tc>
          <w:tcPr>
            <w:tcW w:type="dxa" w:w="7060"/>
            <w:vAlign w:val="center"/>
            <w:tcMar>
              <w:top w:w="140" w:type="dxa"/>
              <w:start w:w="180" w:type="dxa"/>
              <w:bottom w:w="140" w:type="dxa"/>
              <w:end w:w="180" w:type="dxa"/>
            </w:tcMar>
            <w:shd w:fill="16171F"/>
          </w:tcPr>
          <w:p>
            <w:r>
              <w:rPr>
                <w:rFonts w:ascii="Arial" w:hAnsi="Arial" w:eastAsia="Arial"/>
                <w:b/>
                <w:color w:val="FFFFFF"/>
                <w:sz w:val="17"/>
              </w:rPr>
              <w:t>VALUE</w:t>
            </w:r>
          </w:p>
        </w:tc>
      </w:tr>
      <w:tr>
        <w:trPr>
          <w:cantSplit/>
        </w:trPr>
        <w:tc>
          <w:tcPr>
            <w:tcW w:type="dxa" w:w="2300"/>
            <w:vAlign w:val="center"/>
            <w:tcMar>
              <w:top w:w="140" w:type="dxa"/>
              <w:start w:w="180" w:type="dxa"/>
              <w:bottom w:w="140" w:type="dxa"/>
              <w:end w:w="180" w:type="dxa"/>
            </w:tcMar>
            <w:shd w:fill="F4F4F6"/>
          </w:tcPr>
          <w:p>
            <w:r>
              <w:rPr>
                <w:rFonts w:ascii="Arial" w:hAnsi="Arial" w:eastAsia="Arial"/>
                <w:b/>
                <w:color w:val="16171F"/>
                <w:sz w:val="17"/>
              </w:rPr>
              <w:t>Version</w:t>
            </w:r>
          </w:p>
        </w:tc>
        <w:tc>
          <w:tcPr>
            <w:tcW w:type="dxa" w:w="7060"/>
            <w:vAlign w:val="center"/>
            <w:tcMar>
              <w:top w:w="140" w:type="dxa"/>
              <w:start w:w="180" w:type="dxa"/>
              <w:bottom w:w="140" w:type="dxa"/>
              <w:end w:w="180" w:type="dxa"/>
            </w:tcMar>
          </w:tcPr>
          <w:p>
            <w:r>
              <w:rPr>
                <w:rFonts w:ascii="Arial" w:hAnsi="Arial" w:eastAsia="Arial"/>
                <w:color w:val="555B72"/>
                <w:sz w:val="17"/>
              </w:rPr>
              <w:t>2.0</w:t>
            </w:r>
          </w:p>
        </w:tc>
      </w:tr>
      <w:tr>
        <w:trPr>
          <w:cantSplit/>
        </w:trPr>
        <w:tc>
          <w:tcPr>
            <w:tcW w:type="dxa" w:w="2300"/>
            <w:vAlign w:val="center"/>
            <w:tcMar>
              <w:top w:w="140" w:type="dxa"/>
              <w:start w:w="180" w:type="dxa"/>
              <w:bottom w:w="140" w:type="dxa"/>
              <w:end w:w="180" w:type="dxa"/>
            </w:tcMar>
            <w:shd w:fill="F4F4F6"/>
          </w:tcPr>
          <w:p>
            <w:r>
              <w:rPr>
                <w:rFonts w:ascii="Arial" w:hAnsi="Arial" w:eastAsia="Arial"/>
                <w:b/>
                <w:color w:val="16171F"/>
                <w:sz w:val="17"/>
              </w:rPr>
              <w:t>Status</w:t>
            </w:r>
          </w:p>
        </w:tc>
        <w:tc>
          <w:tcPr>
            <w:tcW w:type="dxa" w:w="7060"/>
            <w:vAlign w:val="center"/>
            <w:tcMar>
              <w:top w:w="140" w:type="dxa"/>
              <w:start w:w="180" w:type="dxa"/>
              <w:bottom w:w="140" w:type="dxa"/>
              <w:end w:w="180" w:type="dxa"/>
            </w:tcMar>
          </w:tcPr>
          <w:p>
            <w:r>
              <w:rPr>
                <w:rFonts w:ascii="Arial" w:hAnsi="Arial" w:eastAsia="Arial"/>
                <w:color w:val="555B72"/>
                <w:sz w:val="17"/>
              </w:rPr>
              <w:t>Working guideline - approve before controlled use</w:t>
            </w:r>
          </w:p>
        </w:tc>
      </w:tr>
      <w:tr>
        <w:trPr>
          <w:cantSplit/>
        </w:trPr>
        <w:tc>
          <w:tcPr>
            <w:tcW w:type="dxa" w:w="2300"/>
            <w:vAlign w:val="center"/>
            <w:tcMar>
              <w:top w:w="140" w:type="dxa"/>
              <w:start w:w="180" w:type="dxa"/>
              <w:bottom w:w="140" w:type="dxa"/>
              <w:end w:w="180" w:type="dxa"/>
            </w:tcMar>
            <w:shd w:fill="F4F4F6"/>
          </w:tcPr>
          <w:p>
            <w:r>
              <w:rPr>
                <w:rFonts w:ascii="Arial" w:hAnsi="Arial" w:eastAsia="Arial"/>
                <w:b/>
                <w:color w:val="16171F"/>
                <w:sz w:val="17"/>
              </w:rPr>
              <w:t>Owner</w:t>
            </w:r>
          </w:p>
        </w:tc>
        <w:tc>
          <w:tcPr>
            <w:tcW w:type="dxa" w:w="7060"/>
            <w:vAlign w:val="center"/>
            <w:tcMar>
              <w:top w:w="140" w:type="dxa"/>
              <w:start w:w="180" w:type="dxa"/>
              <w:bottom w:w="140" w:type="dxa"/>
              <w:end w:w="180" w:type="dxa"/>
            </w:tcMar>
          </w:tcPr>
          <w:p>
            <w:r>
              <w:rPr>
                <w:rFonts w:ascii="Arial" w:hAnsi="Arial" w:eastAsia="Arial"/>
                <w:color w:val="555B72"/>
                <w:sz w:val="17"/>
              </w:rPr>
              <w:t>[Role accountable for the SOP system]</w:t>
            </w:r>
          </w:p>
        </w:tc>
      </w:tr>
      <w:tr>
        <w:trPr>
          <w:cantSplit/>
        </w:trPr>
        <w:tc>
          <w:tcPr>
            <w:tcW w:type="dxa" w:w="2300"/>
            <w:vAlign w:val="center"/>
            <w:tcMar>
              <w:top w:w="140" w:type="dxa"/>
              <w:start w:w="180" w:type="dxa"/>
              <w:bottom w:w="140" w:type="dxa"/>
              <w:end w:w="180" w:type="dxa"/>
            </w:tcMar>
            <w:shd w:fill="F4F4F6"/>
          </w:tcPr>
          <w:p>
            <w:r>
              <w:rPr>
                <w:rFonts w:ascii="Arial" w:hAnsi="Arial" w:eastAsia="Arial"/>
                <w:b/>
                <w:color w:val="16171F"/>
                <w:sz w:val="17"/>
              </w:rPr>
              <w:t>Review</w:t>
            </w:r>
          </w:p>
        </w:tc>
        <w:tc>
          <w:tcPr>
            <w:tcW w:type="dxa" w:w="7060"/>
            <w:vAlign w:val="center"/>
            <w:tcMar>
              <w:top w:w="140" w:type="dxa"/>
              <w:start w:w="180" w:type="dxa"/>
              <w:bottom w:w="140" w:type="dxa"/>
              <w:end w:w="180" w:type="dxa"/>
            </w:tcMar>
          </w:tcPr>
          <w:p>
            <w:r>
              <w:rPr>
                <w:rFonts w:ascii="Arial" w:hAnsi="Arial" w:eastAsia="Arial"/>
                <w:color w:val="555B72"/>
                <w:sz w:val="17"/>
              </w:rPr>
              <w:t>[Date and event-based review triggers]</w:t>
            </w:r>
          </w:p>
        </w:tc>
      </w:tr>
    </w:tbl>
    <w:p>
      <w:pPr>
        <w:pageBreakBefore/>
        <w:spacing w:after="120"/>
      </w:pPr>
      <w:r>
        <w:rPr>
          <w:rFonts w:ascii="Arial" w:hAnsi="Arial" w:eastAsia="Arial"/>
          <w:b/>
          <w:color w:val="8A5B00"/>
          <w:sz w:val="17"/>
        </w:rPr>
        <w:t>01  /  CHOOSE THE TARGET</w:t>
      </w:r>
    </w:p>
    <w:p>
      <w:pPr>
        <w:pStyle w:val="Heading1"/>
      </w:pPr>
      <w:r>
        <w:rPr>
          <w:rFonts w:ascii="Arial" w:hAnsi="Arial" w:eastAsia="Arial"/>
          <w:color w:val="16171F"/>
        </w:rPr>
        <w:t>Define the result before the procedure</w:t>
      </w:r>
    </w:p>
    <w:p>
      <w:pPr>
        <w:pStyle w:val="Lead"/>
      </w:pPr>
      <w:r>
        <w:rPr>
          <w:rFonts w:ascii="Arial" w:hAnsi="Arial" w:eastAsia="Arial"/>
          <w:b/>
          <w:color w:val="16171F"/>
          <w:sz w:val="25"/>
        </w:rPr>
        <w:t>An SOP is useful only when it points at an observable outcome. If the destination is vague, the steps will optimise activity instead of performance.</w:t>
      </w:r>
    </w:p>
    <w:p>
      <w:pPr>
        <w:keepNext/>
        <w:spacing w:before="160" w:after="80"/>
      </w:pPr>
      <w:r>
        <w:rPr>
          <w:rFonts w:ascii="Arial" w:hAnsi="Arial" w:eastAsia="Arial"/>
          <w:b/>
          <w:color w:val="16171F"/>
          <w:sz w:val="23"/>
        </w:rPr>
        <w:t>Write one observable end state.</w:t>
      </w:r>
    </w:p>
    <w:p>
      <w:pPr>
        <w:spacing w:after="160" w:line="300" w:lineRule="auto"/>
      </w:pPr>
      <w:r>
        <w:rPr>
          <w:rFonts w:ascii="Arial" w:hAnsi="Arial" w:eastAsia="Arial"/>
          <w:color w:val="555B72"/>
          <w:sz w:val="22"/>
        </w:rPr>
        <w:t>Name what must be true when the process works. You are ready to continue when a reviewer can identify evidence that would prove or disprove the statement.</w:t>
      </w:r>
    </w:p>
    <w:p>
      <w:pPr>
        <w:keepNext/>
        <w:spacing w:before="160" w:after="80"/>
      </w:pPr>
      <w:r>
        <w:rPr>
          <w:rFonts w:ascii="Arial" w:hAnsi="Arial" w:eastAsia="Arial"/>
          <w:b/>
          <w:color w:val="16171F"/>
          <w:sz w:val="23"/>
        </w:rPr>
        <w:t>Draw the boundary around one repeatable process.</w:t>
      </w:r>
    </w:p>
    <w:p>
      <w:pPr>
        <w:spacing w:after="160" w:line="300" w:lineRule="auto"/>
      </w:pPr>
      <w:r>
        <w:rPr>
          <w:rFonts w:ascii="Arial" w:hAnsi="Arial" w:eastAsia="Arial"/>
          <w:color w:val="555B72"/>
          <w:sz w:val="22"/>
        </w:rPr>
        <w:t>Record the trigger, end state, intended user, included cases, exclusions, and downstream handoff. Split the work when different outcomes, owners, or control systems are involved.</w:t>
      </w:r>
    </w:p>
    <w:p>
      <w:pPr>
        <w:keepNext/>
        <w:spacing w:before="160" w:after="80"/>
      </w:pPr>
      <w:r>
        <w:rPr>
          <w:rFonts w:ascii="Arial" w:hAnsi="Arial" w:eastAsia="Arial"/>
          <w:b/>
          <w:color w:val="16171F"/>
          <w:sz w:val="23"/>
        </w:rPr>
        <w:t>Assign one accountable owner.</w:t>
      </w:r>
    </w:p>
    <w:p>
      <w:pPr>
        <w:spacing w:after="160" w:line="300" w:lineRule="auto"/>
      </w:pPr>
      <w:r>
        <w:rPr>
          <w:rFonts w:ascii="Arial" w:hAnsi="Arial" w:eastAsia="Arial"/>
          <w:color w:val="555B72"/>
          <w:sz w:val="22"/>
        </w:rPr>
        <w:t>Name the role that resolves conflicts, approves the operating method, owns performance, and decides when the SOP changes or retires.</w:t>
      </w:r>
    </w:p>
    <w:tbl>
      <w:tblPr>
        <w:tblW w:type="dxa" w:w="9360"/>
        <w:jc w:val="center"/>
        <w:tblLayout w:type="fixed"/>
        <w:tblLook w:firstColumn="1" w:firstRow="1" w:lastColumn="0" w:lastRow="0" w:noHBand="0" w:noVBand="1" w:val="04A0"/>
        <w:tblInd w:w="220" w:type="dxa"/>
        <w:tblBorders>
          <w:top w:val="single" w:sz="8" w:color="F2C14E"/>
          <w:start w:val="single" w:sz="8" w:color="F2C14E"/>
          <w:bottom w:val="single" w:sz="8" w:color="F2C14E"/>
          <w:end w:val="single" w:sz="8" w:color="F2C14E"/>
          <w:insideH w:val="single" w:sz="8" w:color="F2C14E"/>
          <w:insideV w:val="single" w:sz="8" w:color="F2C14E"/>
        </w:tblBorders>
      </w:tblPr>
      <w:tblGrid>
        <w:gridCol w:w="9360"/>
      </w:tblGrid>
      <w:tr>
        <w:trPr>
          <w:cantSplit/>
        </w:trPr>
        <w:tc>
          <w:tcPr>
            <w:tcW w:type="dxa" w:w="9360"/>
            <w:vAlign w:val="center"/>
            <w:tcMar>
              <w:top w:w="165" w:type="dxa"/>
              <w:start w:w="220" w:type="dxa"/>
              <w:bottom w:w="165" w:type="dxa"/>
              <w:end w:w="220" w:type="dxa"/>
            </w:tcMar>
            <w:shd w:fill="FFF7DF"/>
          </w:tcPr>
          <w:p>
            <w:pPr>
              <w:spacing w:before="0" w:after="0" w:line="288" w:lineRule="auto"/>
            </w:pPr>
            <w:r>
              <w:rPr>
                <w:rFonts w:ascii="Arial" w:hAnsi="Arial" w:eastAsia="Arial"/>
                <w:b/>
                <w:color w:val="8A5B00"/>
                <w:sz w:val="18"/>
              </w:rPr>
              <w:t xml:space="preserve">DO NOT DOCUMENT YET  </w:t>
            </w:r>
            <w:r>
              <w:rPr>
                <w:rFonts w:ascii="Arial" w:hAnsi="Arial" w:eastAsia="Arial"/>
                <w:b/>
                <w:color w:val="16171F"/>
                <w:sz w:val="21"/>
              </w:rPr>
              <w:t>Pause when the process is experimental, changes every case, or has unresolved policy. Stabilise the method or publish a clearly temporary work instruction with a short review date.</w:t>
            </w:r>
          </w:p>
        </w:tc>
      </w:tr>
    </w:tbl>
    <w:p>
      <w:pPr>
        <w:spacing w:before="0" w:after="80" w:line="240" w:lineRule="auto"/>
      </w:pPr>
      <w:r>
        <w:rPr>
          <w:rFonts w:ascii="Arial" w:hAnsi="Arial" w:eastAsia="Arial"/>
          <w:color w:val="FFFFFF"/>
          <w:sz w:val="2"/>
        </w:rPr>
        <w:t xml:space="preserve"> </w:t>
      </w:r>
    </w:p>
    <w:p>
      <w:pPr>
        <w:pStyle w:val="Heading2"/>
      </w:pPr>
      <w:r>
        <w:rPr>
          <w:rFonts w:ascii="Arial" w:hAnsi="Arial" w:eastAsia="Arial"/>
          <w:color w:val="8A5B00"/>
        </w:rPr>
        <w:t>The first page of the SOP should answer</w:t>
      </w:r>
    </w:p>
    <w:p>
      <w:pPr>
        <w:numPr>
          <w:ilvl w:val="0"/>
          <w:numId w:val="10"/>
        </w:numPr>
        <w:spacing w:after="80" w:line="300" w:lineRule="auto"/>
      </w:pPr>
      <w:r>
        <w:rPr>
          <w:rFonts w:ascii="Arial" w:hAnsi="Arial" w:eastAsia="Arial"/>
          <w:color w:val="16171F"/>
        </w:rPr>
        <w:t>What result must this process produce?</w:t>
      </w:r>
    </w:p>
    <w:p>
      <w:pPr>
        <w:numPr>
          <w:ilvl w:val="0"/>
          <w:numId w:val="10"/>
        </w:numPr>
        <w:spacing w:after="80" w:line="300" w:lineRule="auto"/>
      </w:pPr>
      <w:r>
        <w:rPr>
          <w:rFonts w:ascii="Arial" w:hAnsi="Arial" w:eastAsia="Arial"/>
          <w:color w:val="16171F"/>
        </w:rPr>
        <w:t>What event starts it, and what observable state ends it?</w:t>
      </w:r>
    </w:p>
    <w:p>
      <w:pPr>
        <w:numPr>
          <w:ilvl w:val="0"/>
          <w:numId w:val="10"/>
        </w:numPr>
        <w:spacing w:after="80" w:line="300" w:lineRule="auto"/>
      </w:pPr>
      <w:r>
        <w:rPr>
          <w:rFonts w:ascii="Arial" w:hAnsi="Arial" w:eastAsia="Arial"/>
          <w:color w:val="16171F"/>
        </w:rPr>
        <w:t>Who may perform it, and who owns or approves it?</w:t>
      </w:r>
    </w:p>
    <w:p>
      <w:pPr>
        <w:numPr>
          <w:ilvl w:val="0"/>
          <w:numId w:val="10"/>
        </w:numPr>
        <w:spacing w:after="80" w:line="300" w:lineRule="auto"/>
      </w:pPr>
      <w:r>
        <w:rPr>
          <w:rFonts w:ascii="Arial" w:hAnsi="Arial" w:eastAsia="Arial"/>
          <w:color w:val="16171F"/>
        </w:rPr>
        <w:t>Which cases belong here, and where do excluded cases go?</w:t>
      </w:r>
    </w:p>
    <w:p>
      <w:pPr>
        <w:pageBreakBefore/>
        <w:spacing w:after="120"/>
      </w:pPr>
      <w:r>
        <w:rPr>
          <w:rFonts w:ascii="Arial" w:hAnsi="Arial" w:eastAsia="Arial"/>
          <w:b/>
          <w:color w:val="8A5B00"/>
          <w:sz w:val="17"/>
        </w:rPr>
        <w:t>02  /  FIND THE TRUTH</w:t>
      </w:r>
    </w:p>
    <w:p>
      <w:pPr>
        <w:pStyle w:val="Heading1"/>
      </w:pPr>
      <w:r>
        <w:rPr>
          <w:rFonts w:ascii="Arial" w:hAnsi="Arial" w:eastAsia="Arial"/>
          <w:color w:val="16171F"/>
        </w:rPr>
        <w:t>Observe the work, then narrow the context</w:t>
      </w:r>
    </w:p>
    <w:p>
      <w:pPr>
        <w:pStyle w:val="Lead"/>
      </w:pPr>
      <w:r>
        <w:rPr>
          <w:rFonts w:ascii="Arial" w:hAnsi="Arial" w:eastAsia="Arial"/>
          <w:b/>
          <w:color w:val="16171F"/>
          <w:sz w:val="25"/>
        </w:rPr>
        <w:t>Memory produces the ideal process. Evidence reveals the real one. Start wide enough to locate the process, then focus on each decision, control, exception, and handoff.</w:t>
      </w:r>
    </w:p>
    <w:p>
      <w:pPr>
        <w:keepNext/>
        <w:spacing w:before="100" w:after="40"/>
      </w:pPr>
      <w:r>
        <w:rPr>
          <w:rFonts w:ascii="Arial" w:hAnsi="Arial" w:eastAsia="Arial"/>
          <w:b/>
          <w:color w:val="16171F"/>
          <w:sz w:val="23"/>
        </w:rPr>
        <w:t>Collect evidence from the work itself.</w:t>
      </w:r>
    </w:p>
    <w:p>
      <w:pPr>
        <w:spacing w:after="100" w:line="276" w:lineRule="auto"/>
      </w:pPr>
      <w:r>
        <w:rPr>
          <w:rFonts w:ascii="Arial" w:hAnsi="Arial" w:eastAsia="Arial"/>
          <w:color w:val="555B72"/>
          <w:sz w:val="22"/>
        </w:rPr>
        <w:t>Watch representative cases. Review system records, tickets, logs, screenshots, policies, and existing instructions. Interview more than one operator when possible.</w:t>
      </w:r>
    </w:p>
    <w:tbl>
      <w:tblPr>
        <w:tblW w:type="dxa" w:w="9360"/>
        <w:jc w:val="center"/>
        <w:tblLayout w:type="fixed"/>
        <w:tblLook w:firstColumn="1" w:firstRow="1" w:lastColumn="0" w:lastRow="0" w:noHBand="0" w:noVBand="1" w:val="04A0"/>
        <w:tblInd w:w="220" w:type="dxa"/>
        <w:tblBorders>
          <w:top w:val="single" w:sz="8" w:color="F2C14E"/>
          <w:start w:val="single" w:sz="8" w:color="F2C14E"/>
          <w:bottom w:val="single" w:sz="8" w:color="F2C14E"/>
          <w:end w:val="single" w:sz="8" w:color="F2C14E"/>
          <w:insideH w:val="single" w:sz="8" w:color="F2C14E"/>
          <w:insideV w:val="single" w:sz="8" w:color="F2C14E"/>
        </w:tblBorders>
      </w:tblPr>
      <w:tblGrid>
        <w:gridCol w:w="9360"/>
      </w:tblGrid>
      <w:tr>
        <w:trPr>
          <w:cantSplit/>
        </w:trPr>
        <w:tc>
          <w:tcPr>
            <w:tcW w:type="dxa" w:w="9360"/>
            <w:vAlign w:val="center"/>
            <w:tcMar>
              <w:top w:w="170" w:type="dxa"/>
              <w:start w:w="260" w:type="dxa"/>
              <w:bottom w:w="170" w:type="dxa"/>
              <w:end w:w="260" w:type="dxa"/>
            </w:tcMar>
            <w:shd w:fill="FFF7DF"/>
          </w:tcPr>
          <w:p>
            <w:pPr>
              <w:spacing w:before="0" w:after="100" w:line="264" w:lineRule="auto"/>
            </w:pPr>
            <w:r>
              <w:rPr>
                <w:rFonts w:ascii="Arial" w:hAnsi="Arial" w:eastAsia="Arial"/>
                <w:b/>
                <w:color w:val="8A5B00"/>
                <w:sz w:val="20"/>
              </w:rPr>
              <w:t>PRO HACK · MAKE THE INVISIBLE WORK VISIBLE</w:t>
            </w:r>
          </w:p>
          <w:tbl>
            <w:tblPr>
              <w:tblW w:type="dxa" w:w="8840"/>
              <w:jc w:val="center"/>
              <w:tblLayout w:type="fixed"/>
              <w:tblLook w:firstColumn="1" w:firstRow="1" w:lastColumn="0" w:lastRow="0" w:noHBand="0" w:noVBand="1" w:val="04A0"/>
              <w:tblInd w:w="0" w:type="dxa"/>
              <w:tblBorders>
                <w:top w:val="nil"/>
                <w:start w:val="nil"/>
                <w:bottom w:val="nil"/>
                <w:end w:val="nil"/>
                <w:insideH w:val="nil"/>
                <w:insideV w:val="nil"/>
              </w:tblBorders>
            </w:tblPr>
            <w:tblGrid>
              <w:gridCol w:w="7350"/>
              <w:gridCol w:w="1490"/>
            </w:tblGrid>
            <w:tr>
              <w:trPr>
                <w:cantSplit/>
              </w:trPr>
              <w:tc>
                <w:tcPr>
                  <w:tcW w:type="dxa" w:w="7350"/>
                  <w:vAlign w:val="center"/>
                  <w:tcMar>
                    <w:top w:w="0" w:type="dxa"/>
                    <w:start w:w="0" w:type="dxa"/>
                    <w:bottom w:w="0" w:type="dxa"/>
                    <w:end w:w="220" w:type="dxa"/>
                  </w:tcMar>
                </w:tcPr>
                <w:p>
                  <w:pPr>
                    <w:spacing w:before="0" w:after="120" w:line="300" w:lineRule="auto"/>
                  </w:pPr>
                  <w:r>
                    <w:rPr>
                      <w:rFonts w:ascii="Arial" w:hAnsi="Arial" w:eastAsia="Arial"/>
                      <w:color w:val="16171F"/>
                      <w:sz w:val="21"/>
                    </w:rPr>
                    <w:t>Record every activity, even when it looks too small to matter. You can log it manually in Excel, or use RAFAI—built to make workday time studies easier. Your study data stays on your phone and is never sent to AITOC, so you can measure the real work safely.</w:t>
                  </w:r>
                </w:p>
                <w:p>
                  <w:pPr>
                    <w:spacing w:before="0" w:after="0" w:line="288" w:lineRule="auto"/>
                  </w:pPr>
                  <w:r>
                    <w:rPr>
                      <w:rFonts w:ascii="Arial" w:hAnsi="Arial" w:eastAsia="Arial"/>
                      <w:b/>
                      <w:color w:val="8A5B00"/>
                      <w:sz w:val="21"/>
                    </w:rPr>
                    <w:t>Download RAFAI from the App Store, or register at aitoc.io#rafai.</w:t>
                  </w:r>
                </w:p>
              </w:tc>
              <w:tc>
                <w:tcPr>
                  <w:tcW w:type="dxa" w:w="1490"/>
                  <w:vAlign w:val="center"/>
                  <w:tcMar>
                    <w:top w:w="0" w:type="dxa"/>
                    <w:start w:w="100" w:type="dxa"/>
                    <w:bottom w:w="0" w:type="dxa"/>
                    <w:end w:w="0" w:type="dxa"/>
                  </w:tcMar>
                </w:tcPr>
                <w:p>
                  <w:pPr>
                    <w:spacing w:before="0" w:after="40"/>
                    <w:jc w:val="right"/>
                  </w:pPr>
                  <w:r>
                    <w:drawing>
                      <wp:inline xmlns:a="http://schemas.openxmlformats.org/drawingml/2006/main" xmlns:pic="http://schemas.openxmlformats.org/drawingml/2006/picture">
                        <wp:extent cx="566928" cy="566928"/>
                        <wp:docPr id="2" name="Picture 2"/>
                        <wp:cNvGraphicFramePr>
                          <a:graphicFrameLocks noChangeAspect="1"/>
                        </wp:cNvGraphicFramePr>
                        <a:graphic>
                          <a:graphicData uri="http://schemas.openxmlformats.org/drawingml/2006/picture">
                            <pic:pic>
                              <pic:nvPicPr>
                                <pic:cNvPr id="0" name="rafai-sop-qr.png"/>
                                <pic:cNvPicPr/>
                              </pic:nvPicPr>
                              <pic:blipFill>
                                <a:blip r:embed="rId12"/>
                                <a:stretch>
                                  <a:fillRect/>
                                </a:stretch>
                              </pic:blipFill>
                              <pic:spPr>
                                <a:xfrm>
                                  <a:off x="0" y="0"/>
                                  <a:ext cx="566928" cy="566928"/>
                                </a:xfrm>
                                <a:prstGeom prst="rect"/>
                              </pic:spPr>
                            </pic:pic>
                          </a:graphicData>
                        </a:graphic>
                      </wp:inline>
                    </w:drawing>
                  </w:r>
                </w:p>
                <w:p>
                  <w:pPr>
                    <w:spacing w:before="0" w:after="0"/>
                    <w:jc w:val="right"/>
                  </w:pPr>
                  <w:r>
                    <w:rPr>
                      <w:rFonts w:ascii="Arial" w:hAnsi="Arial" w:eastAsia="Arial"/>
                      <w:b/>
                      <w:color w:val="8A5B00"/>
                      <w:sz w:val="13"/>
                    </w:rPr>
                    <w:t>SCAN TO OPEN</w:t>
                  </w:r>
                </w:p>
              </w:tc>
            </w:tr>
          </w:tbl>
          <w:p/>
        </w:tc>
      </w:tr>
    </w:tbl>
    <w:p>
      <w:pPr>
        <w:spacing w:before="0" w:after="40" w:line="240" w:lineRule="auto"/>
      </w:pPr>
      <w:r>
        <w:rPr>
          <w:rFonts w:ascii="Arial" w:hAnsi="Arial" w:eastAsia="Arial"/>
          <w:color w:val="FFFFFF"/>
          <w:sz w:val="2"/>
        </w:rPr>
        <w:t xml:space="preserve"> </w:t>
      </w:r>
    </w:p>
    <w:p>
      <w:pPr>
        <w:keepNext/>
        <w:spacing w:before="100" w:after="40"/>
      </w:pPr>
      <w:r>
        <w:rPr>
          <w:rFonts w:ascii="Arial" w:hAnsi="Arial" w:eastAsia="Arial"/>
          <w:b/>
          <w:color w:val="16171F"/>
          <w:sz w:val="23"/>
        </w:rPr>
        <w:t>Separate facts from gaps.</w:t>
      </w:r>
    </w:p>
    <w:p>
      <w:pPr>
        <w:spacing w:after="100" w:line="276" w:lineRule="auto"/>
      </w:pPr>
      <w:r>
        <w:rPr>
          <w:rFonts w:ascii="Arial" w:hAnsi="Arial" w:eastAsia="Arial"/>
          <w:color w:val="555B72"/>
          <w:sz w:val="22"/>
        </w:rPr>
        <w:t>Mark each statement as verified evidence, assumption, open question, or recommendation. Conflicts that change safety, authority, decision rules, or expected output block approval until the owner resolves them.</w:t>
      </w:r>
    </w:p>
    <w:p>
      <w:pPr>
        <w:keepNext/>
        <w:spacing w:before="100" w:after="40"/>
      </w:pPr>
      <w:r>
        <w:rPr>
          <w:rFonts w:ascii="Arial" w:hAnsi="Arial" w:eastAsia="Arial"/>
          <w:b/>
          <w:color w:val="16171F"/>
          <w:sz w:val="23"/>
        </w:rPr>
        <w:t>Concentrate context around the critical step.</w:t>
      </w:r>
    </w:p>
    <w:p>
      <w:pPr>
        <w:spacing w:after="100" w:line="276" w:lineRule="auto"/>
      </w:pPr>
      <w:r>
        <w:rPr>
          <w:rFonts w:ascii="Arial" w:hAnsi="Arial" w:eastAsia="Arial"/>
          <w:color w:val="555B72"/>
          <w:sz w:val="22"/>
        </w:rPr>
        <w:t>Keep only information that changes the action, decision, control, or proof. Extra material may help navigation, but it cannot replace missing process evidence.</w:t>
      </w:r>
    </w:p>
    <w:p>
      <w:pPr>
        <w:pStyle w:val="Heading2"/>
      </w:pPr>
      <w:r>
        <w:rPr>
          <w:rFonts w:ascii="Arial" w:hAnsi="Arial" w:eastAsia="Arial"/>
          <w:color w:val="8A5B00"/>
        </w:rPr>
        <w:t>The seven fields behind an executable step</w:t>
      </w:r>
    </w:p>
    <w:tbl>
      <w:tblPr>
        <w:tblW w:type="dxa" w:w="9360"/>
        <w:jc w:val="center"/>
        <w:tblLayout w:type="fixed"/>
        <w:tblLook w:firstColumn="1" w:firstRow="1" w:lastColumn="0" w:lastRow="0" w:noHBand="0" w:noVBand="1" w:val="04A0"/>
        <w:tblInd w:w="180" w:type="dxa"/>
        <w:tblBorders>
          <w:top w:val="single" w:sz="5" w:color="D7D9E0"/>
          <w:start w:val="single" w:sz="5" w:color="D7D9E0"/>
          <w:bottom w:val="single" w:sz="5" w:color="D7D9E0"/>
          <w:end w:val="single" w:sz="5" w:color="D7D9E0"/>
          <w:insideH w:val="single" w:sz="5" w:color="D7D9E0"/>
          <w:insideV w:val="single" w:sz="5" w:color="D7D9E0"/>
        </w:tblBorders>
      </w:tblPr>
      <w:tblGrid>
        <w:gridCol w:w="2700"/>
        <w:gridCol w:w="6660"/>
      </w:tblGrid>
      <w:tr>
        <w:trPr>
          <w:cantSplit/>
          <w:tblHeader w:val="true"/>
        </w:trPr>
        <w:tc>
          <w:tcPr>
            <w:tcW w:type="dxa" w:w="2700"/>
            <w:vAlign w:val="center"/>
            <w:tcMar>
              <w:top w:w="140" w:type="dxa"/>
              <w:start w:w="180" w:type="dxa"/>
              <w:bottom w:w="140" w:type="dxa"/>
              <w:end w:w="180" w:type="dxa"/>
            </w:tcMar>
            <w:shd w:fill="16171F"/>
          </w:tcPr>
          <w:p>
            <w:r>
              <w:rPr>
                <w:rFonts w:ascii="Arial" w:hAnsi="Arial" w:eastAsia="Arial"/>
                <w:b/>
                <w:color w:val="FFFFFF"/>
                <w:sz w:val="17"/>
              </w:rPr>
              <w:t>FIELD</w:t>
            </w:r>
          </w:p>
        </w:tc>
        <w:tc>
          <w:tcPr>
            <w:tcW w:type="dxa" w:w="6660"/>
            <w:vAlign w:val="center"/>
            <w:tcMar>
              <w:top w:w="140" w:type="dxa"/>
              <w:start w:w="180" w:type="dxa"/>
              <w:bottom w:w="140" w:type="dxa"/>
              <w:end w:w="180" w:type="dxa"/>
            </w:tcMar>
            <w:shd w:fill="16171F"/>
          </w:tcPr>
          <w:p>
            <w:r>
              <w:rPr>
                <w:rFonts w:ascii="Arial" w:hAnsi="Arial" w:eastAsia="Arial"/>
                <w:b/>
                <w:color w:val="FFFFFF"/>
                <w:sz w:val="17"/>
              </w:rPr>
              <w:t>WHAT MUST BE LOCALLY CLEAR</w:t>
            </w:r>
          </w:p>
        </w:tc>
      </w:tr>
      <w:tr>
        <w:tc>
          <w:tcPr>
            <w:tcW w:type="dxa" w:w="2700"/>
          </w:tcPr>
          <w:p>
            <w:r>
              <w:rPr>
                <w:rFonts w:ascii="Arial" w:hAnsi="Arial" w:eastAsia="Arial"/>
                <w:b/>
                <w:color w:val="16171F"/>
                <w:sz w:val="19"/>
              </w:rPr>
              <w:t>Trigger and input</w:t>
            </w:r>
          </w:p>
        </w:tc>
        <w:tc>
          <w:tcPr>
            <w:tcW w:type="dxa" w:w="6660"/>
          </w:tcPr>
          <w:p>
            <w:r>
              <w:rPr>
                <w:rFonts w:ascii="Arial" w:hAnsi="Arial" w:eastAsia="Arial"/>
                <w:color w:val="555B72"/>
                <w:sz w:val="19"/>
              </w:rPr>
              <w:t>Observable event, object, and prerequisites.</w:t>
            </w:r>
          </w:p>
        </w:tc>
      </w:tr>
      <w:tr>
        <w:tc>
          <w:tcPr>
            <w:tcW w:type="dxa" w:w="2700"/>
            <w:shd w:fill="F4F4F6"/>
          </w:tcPr>
          <w:p>
            <w:r>
              <w:rPr>
                <w:rFonts w:ascii="Arial" w:hAnsi="Arial" w:eastAsia="Arial"/>
                <w:b/>
                <w:color w:val="16171F"/>
                <w:sz w:val="19"/>
              </w:rPr>
              <w:t>Responsible role</w:t>
            </w:r>
          </w:p>
        </w:tc>
        <w:tc>
          <w:tcPr>
            <w:tcW w:type="dxa" w:w="6660"/>
            <w:shd w:fill="F4F4F6"/>
          </w:tcPr>
          <w:p>
            <w:r>
              <w:rPr>
                <w:rFonts w:ascii="Arial" w:hAnsi="Arial" w:eastAsia="Arial"/>
                <w:color w:val="555B72"/>
                <w:sz w:val="19"/>
              </w:rPr>
              <w:t>Who is qualified and authorised to act or approve.</w:t>
            </w:r>
          </w:p>
        </w:tc>
      </w:tr>
      <w:tr>
        <w:tc>
          <w:tcPr>
            <w:tcW w:type="dxa" w:w="2700"/>
          </w:tcPr>
          <w:p>
            <w:r>
              <w:rPr>
                <w:rFonts w:ascii="Arial" w:hAnsi="Arial" w:eastAsia="Arial"/>
                <w:b/>
                <w:color w:val="16171F"/>
                <w:sz w:val="19"/>
              </w:rPr>
              <w:t>Exact location</w:t>
            </w:r>
          </w:p>
        </w:tc>
        <w:tc>
          <w:tcPr>
            <w:tcW w:type="dxa" w:w="6660"/>
          </w:tcPr>
          <w:p>
            <w:r>
              <w:rPr>
                <w:rFonts w:ascii="Arial" w:hAnsi="Arial" w:eastAsia="Arial"/>
                <w:color w:val="555B72"/>
                <w:sz w:val="19"/>
              </w:rPr>
              <w:t>Named tool, screen, field, document, or work area.</w:t>
            </w:r>
          </w:p>
        </w:tc>
      </w:tr>
      <w:tr>
        <w:tc>
          <w:tcPr>
            <w:tcW w:type="dxa" w:w="2700"/>
            <w:shd w:fill="F4F4F6"/>
          </w:tcPr>
          <w:p>
            <w:r>
              <w:rPr>
                <w:rFonts w:ascii="Arial" w:hAnsi="Arial" w:eastAsia="Arial"/>
                <w:b/>
                <w:color w:val="16171F"/>
                <w:sz w:val="19"/>
              </w:rPr>
              <w:t>Local evidence</w:t>
            </w:r>
          </w:p>
        </w:tc>
        <w:tc>
          <w:tcPr>
            <w:tcW w:type="dxa" w:w="6660"/>
            <w:shd w:fill="F4F4F6"/>
          </w:tcPr>
          <w:p>
            <w:r>
              <w:rPr>
                <w:rFonts w:ascii="Arial" w:hAnsi="Arial" w:eastAsia="Arial"/>
                <w:color w:val="555B72"/>
                <w:sz w:val="19"/>
              </w:rPr>
              <w:t>Relevant approved source, normal case, and edge case.</w:t>
            </w:r>
          </w:p>
        </w:tc>
      </w:tr>
      <w:tr>
        <w:tc>
          <w:tcPr>
            <w:tcW w:type="dxa" w:w="2700"/>
          </w:tcPr>
          <w:p>
            <w:r>
              <w:rPr>
                <w:rFonts w:ascii="Arial" w:hAnsi="Arial" w:eastAsia="Arial"/>
                <w:b/>
                <w:color w:val="16171F"/>
                <w:sz w:val="19"/>
              </w:rPr>
              <w:t>Decision threshold</w:t>
            </w:r>
          </w:p>
        </w:tc>
        <w:tc>
          <w:tcPr>
            <w:tcW w:type="dxa" w:w="6660"/>
          </w:tcPr>
          <w:p>
            <w:r>
              <w:rPr>
                <w:rFonts w:ascii="Arial" w:hAnsi="Arial" w:eastAsia="Arial"/>
                <w:color w:val="555B72"/>
                <w:sz w:val="19"/>
              </w:rPr>
              <w:t>Observable rule and authoritative source for each branch.</w:t>
            </w:r>
          </w:p>
        </w:tc>
      </w:tr>
      <w:tr>
        <w:tc>
          <w:tcPr>
            <w:tcW w:type="dxa" w:w="2700"/>
            <w:shd w:fill="F4F4F6"/>
          </w:tcPr>
          <w:p>
            <w:r>
              <w:rPr>
                <w:rFonts w:ascii="Arial" w:hAnsi="Arial" w:eastAsia="Arial"/>
                <w:b/>
                <w:color w:val="16171F"/>
                <w:sz w:val="19"/>
              </w:rPr>
              <w:t>Risk and control</w:t>
            </w:r>
          </w:p>
        </w:tc>
        <w:tc>
          <w:tcPr>
            <w:tcW w:type="dxa" w:w="6660"/>
            <w:shd w:fill="F4F4F6"/>
          </w:tcPr>
          <w:p>
            <w:r>
              <w:rPr>
                <w:rFonts w:ascii="Arial" w:hAnsi="Arial" w:eastAsia="Arial"/>
                <w:color w:val="555B72"/>
                <w:sz w:val="19"/>
              </w:rPr>
              <w:t>Failure to prevent, check to perform, and escalation route.</w:t>
            </w:r>
          </w:p>
        </w:tc>
      </w:tr>
      <w:tr>
        <w:tc>
          <w:tcPr>
            <w:tcW w:type="dxa" w:w="2700"/>
          </w:tcPr>
          <w:p>
            <w:r>
              <w:rPr>
                <w:rFonts w:ascii="Arial" w:hAnsi="Arial" w:eastAsia="Arial"/>
                <w:b/>
                <w:color w:val="16171F"/>
                <w:sz w:val="19"/>
              </w:rPr>
              <w:t>Output and proof</w:t>
            </w:r>
          </w:p>
        </w:tc>
        <w:tc>
          <w:tcPr>
            <w:tcW w:type="dxa" w:w="6660"/>
          </w:tcPr>
          <w:p>
            <w:r>
              <w:rPr>
                <w:rFonts w:ascii="Arial" w:hAnsi="Arial" w:eastAsia="Arial"/>
                <w:color w:val="555B72"/>
                <w:sz w:val="19"/>
              </w:rPr>
              <w:t>Expected state, handoff, and record retained.</w:t>
            </w:r>
          </w:p>
        </w:tc>
      </w:tr>
    </w:tbl>
    <w:p>
      <w:pPr>
        <w:pageBreakBefore/>
        <w:spacing w:after="120"/>
      </w:pPr>
      <w:r>
        <w:rPr>
          <w:rFonts w:ascii="Arial" w:hAnsi="Arial" w:eastAsia="Arial"/>
          <w:b/>
          <w:color w:val="8A5B00"/>
          <w:sz w:val="17"/>
        </w:rPr>
        <w:t>03  /  SIMPLIFY FIRST</w:t>
      </w:r>
    </w:p>
    <w:p>
      <w:pPr>
        <w:pStyle w:val="Heading1"/>
      </w:pPr>
      <w:r>
        <w:rPr>
          <w:rFonts w:ascii="Arial" w:hAnsi="Arial" w:eastAsia="Arial"/>
          <w:color w:val="16171F"/>
        </w:rPr>
        <w:t>Improve the process before freezing it in text</w:t>
      </w:r>
    </w:p>
    <w:p>
      <w:pPr>
        <w:pStyle w:val="Lead"/>
      </w:pPr>
      <w:r>
        <w:rPr>
          <w:rFonts w:ascii="Arial" w:hAnsi="Arial" w:eastAsia="Arial"/>
          <w:b/>
          <w:color w:val="16171F"/>
          <w:sz w:val="25"/>
        </w:rPr>
        <w:t>A clear SOP cannot rescue a confused process. Map what really happens, remove avoidable motion, and keep only the sequence that produces the outcome and protects the controls.</w:t>
      </w:r>
    </w:p>
    <w:p>
      <w:pPr>
        <w:keepNext/>
        <w:spacing w:before="160" w:after="80"/>
      </w:pPr>
      <w:r>
        <w:rPr>
          <w:rFonts w:ascii="Arial" w:hAnsi="Arial" w:eastAsia="Arial"/>
          <w:b/>
          <w:color w:val="16171F"/>
          <w:sz w:val="23"/>
        </w:rPr>
        <w:t>Map the normal path from trigger to evidence.</w:t>
      </w:r>
    </w:p>
    <w:p>
      <w:pPr>
        <w:spacing w:after="160" w:line="300" w:lineRule="auto"/>
      </w:pPr>
      <w:r>
        <w:rPr>
          <w:rFonts w:ascii="Arial" w:hAnsi="Arial" w:eastAsia="Arial"/>
          <w:color w:val="555B72"/>
          <w:sz w:val="22"/>
        </w:rPr>
        <w:t>Place the real actions in chronological order. Show where the work pauses, changes owner, creates a record, or reaches a completion state.</w:t>
      </w:r>
    </w:p>
    <w:p>
      <w:pPr>
        <w:keepNext/>
        <w:spacing w:before="160" w:after="80"/>
      </w:pPr>
      <w:r>
        <w:rPr>
          <w:rFonts w:ascii="Arial" w:hAnsi="Arial" w:eastAsia="Arial"/>
          <w:b/>
          <w:color w:val="16171F"/>
          <w:sz w:val="23"/>
        </w:rPr>
        <w:t>Expose every branch.</w:t>
      </w:r>
    </w:p>
    <w:p>
      <w:pPr>
        <w:spacing w:after="160" w:line="300" w:lineRule="auto"/>
      </w:pPr>
      <w:r>
        <w:rPr>
          <w:rFonts w:ascii="Arial" w:hAnsi="Arial" w:eastAsia="Arial"/>
          <w:color w:val="555B72"/>
          <w:sz w:val="22"/>
        </w:rPr>
        <w:t>For each decision, write the observable condition, every valid route, the unknown route, and where each route reconnects or ends.</w:t>
      </w:r>
    </w:p>
    <w:p>
      <w:pPr>
        <w:keepNext/>
        <w:spacing w:before="160" w:after="80"/>
      </w:pPr>
      <w:r>
        <w:rPr>
          <w:rFonts w:ascii="Arial" w:hAnsi="Arial" w:eastAsia="Arial"/>
          <w:b/>
          <w:color w:val="16171F"/>
          <w:sz w:val="23"/>
        </w:rPr>
        <w:t>Question work that cannot change the result.</w:t>
      </w:r>
    </w:p>
    <w:p>
      <w:pPr>
        <w:spacing w:after="160" w:line="300" w:lineRule="auto"/>
      </w:pPr>
      <w:r>
        <w:rPr>
          <w:rFonts w:ascii="Arial" w:hAnsi="Arial" w:eastAsia="Arial"/>
          <w:color w:val="555B72"/>
          <w:sz w:val="22"/>
        </w:rPr>
        <w:t>If an action does not change the outcome, required evidence, control, or handoff, remove it, combine it, automate it later, or explain the legitimate constraint that keeps it.</w:t>
      </w:r>
    </w:p>
    <w:p>
      <w:pPr>
        <w:keepNext/>
        <w:spacing w:before="160" w:after="80"/>
      </w:pPr>
      <w:r>
        <w:rPr>
          <w:rFonts w:ascii="Arial" w:hAnsi="Arial" w:eastAsia="Arial"/>
          <w:b/>
          <w:color w:val="16171F"/>
          <w:sz w:val="23"/>
        </w:rPr>
        <w:t>Separate distinct processes.</w:t>
      </w:r>
    </w:p>
    <w:p>
      <w:pPr>
        <w:spacing w:after="160" w:line="300" w:lineRule="auto"/>
      </w:pPr>
      <w:r>
        <w:rPr>
          <w:rFonts w:ascii="Arial" w:hAnsi="Arial" w:eastAsia="Arial"/>
          <w:color w:val="555B72"/>
          <w:sz w:val="22"/>
        </w:rPr>
        <w:t>A branch with a different owner, outcome, risk model, or approval path usually deserves its own controlled procedure instead of a large nested section.</w:t>
      </w:r>
    </w:p>
    <w:tbl>
      <w:tblPr>
        <w:tblW w:type="dxa" w:w="9360"/>
        <w:jc w:val="center"/>
        <w:tblLayout w:type="fixed"/>
        <w:tblLook w:firstColumn="1" w:firstRow="1" w:lastColumn="0" w:lastRow="0" w:noHBand="0" w:noVBand="1" w:val="04A0"/>
        <w:tblInd w:w="220" w:type="dxa"/>
        <w:tblBorders>
          <w:top w:val="single" w:sz="8" w:color="F2C14E"/>
          <w:start w:val="single" w:sz="8" w:color="F2C14E"/>
          <w:bottom w:val="single" w:sz="8" w:color="F2C14E"/>
          <w:end w:val="single" w:sz="8" w:color="F2C14E"/>
          <w:insideH w:val="single" w:sz="8" w:color="F2C14E"/>
          <w:insideV w:val="single" w:sz="8" w:color="F2C14E"/>
        </w:tblBorders>
      </w:tblPr>
      <w:tblGrid>
        <w:gridCol w:w="9360"/>
      </w:tblGrid>
      <w:tr>
        <w:trPr>
          <w:cantSplit/>
        </w:trPr>
        <w:tc>
          <w:tcPr>
            <w:tcW w:type="dxa" w:w="9360"/>
            <w:vAlign w:val="center"/>
            <w:tcMar>
              <w:top w:w="165" w:type="dxa"/>
              <w:start w:w="220" w:type="dxa"/>
              <w:bottom w:w="165" w:type="dxa"/>
              <w:end w:w="220" w:type="dxa"/>
            </w:tcMar>
            <w:shd w:fill="FFF7DF"/>
          </w:tcPr>
          <w:p>
            <w:pPr>
              <w:spacing w:before="0" w:after="0" w:line="288" w:lineRule="auto"/>
            </w:pPr>
            <w:r>
              <w:rPr>
                <w:rFonts w:ascii="Arial" w:hAnsi="Arial" w:eastAsia="Arial"/>
                <w:b/>
                <w:color w:val="8A5B00"/>
                <w:sz w:val="18"/>
              </w:rPr>
              <w:t xml:space="preserve">READY TO WRITE  </w:t>
            </w:r>
            <w:r>
              <w:rPr>
                <w:rFonts w:ascii="Arial" w:hAnsi="Arial" w:eastAsia="Arial"/>
                <w:b/>
                <w:color w:val="16171F"/>
                <w:sz w:val="21"/>
              </w:rPr>
              <w:t>The path has one clear trigger, explicit branches, named owners, controls at the point of risk, and an end state that produces checkable evidence.</w:t>
            </w:r>
          </w:p>
        </w:tc>
      </w:tr>
    </w:tbl>
    <w:p>
      <w:pPr>
        <w:spacing w:before="0" w:after="80" w:line="240" w:lineRule="auto"/>
      </w:pPr>
      <w:r>
        <w:rPr>
          <w:rFonts w:ascii="Arial" w:hAnsi="Arial" w:eastAsia="Arial"/>
          <w:color w:val="FFFFFF"/>
          <w:sz w:val="2"/>
        </w:rPr>
        <w:t xml:space="preserve"> </w:t>
      </w:r>
    </w:p>
    <w:p>
      <w:pPr>
        <w:pStyle w:val="Heading2"/>
      </w:pPr>
      <w:r>
        <w:rPr>
          <w:rFonts w:ascii="Arial" w:hAnsi="Arial" w:eastAsia="Arial"/>
          <w:color w:val="8A5B00"/>
        </w:rPr>
        <w:t>Build the skeleton in this order</w:t>
      </w:r>
    </w:p>
    <w:p>
      <w:pPr>
        <w:numPr>
          <w:ilvl w:val="0"/>
          <w:numId w:val="11"/>
        </w:numPr>
        <w:spacing w:after="80" w:line="300" w:lineRule="auto"/>
      </w:pPr>
      <w:r>
        <w:rPr>
          <w:rFonts w:ascii="Arial" w:hAnsi="Arial" w:eastAsia="Arial"/>
          <w:color w:val="16171F"/>
        </w:rPr>
        <w:t>Trigger and entry conditions.</w:t>
      </w:r>
    </w:p>
    <w:p>
      <w:pPr>
        <w:numPr>
          <w:ilvl w:val="0"/>
          <w:numId w:val="11"/>
        </w:numPr>
        <w:spacing w:after="80" w:line="300" w:lineRule="auto"/>
      </w:pPr>
      <w:r>
        <w:rPr>
          <w:rFonts w:ascii="Arial" w:hAnsi="Arial" w:eastAsia="Arial"/>
          <w:color w:val="16171F"/>
        </w:rPr>
        <w:t>Normal action path.</w:t>
      </w:r>
    </w:p>
    <w:p>
      <w:pPr>
        <w:numPr>
          <w:ilvl w:val="0"/>
          <w:numId w:val="11"/>
        </w:numPr>
        <w:spacing w:after="80" w:line="300" w:lineRule="auto"/>
      </w:pPr>
      <w:r>
        <w:rPr>
          <w:rFonts w:ascii="Arial" w:hAnsi="Arial" w:eastAsia="Arial"/>
          <w:color w:val="16171F"/>
        </w:rPr>
        <w:t>Decisions and exception routes.</w:t>
      </w:r>
    </w:p>
    <w:p>
      <w:pPr>
        <w:numPr>
          <w:ilvl w:val="0"/>
          <w:numId w:val="11"/>
        </w:numPr>
        <w:spacing w:after="80" w:line="300" w:lineRule="auto"/>
      </w:pPr>
      <w:r>
        <w:rPr>
          <w:rFonts w:ascii="Arial" w:hAnsi="Arial" w:eastAsia="Arial"/>
          <w:color w:val="16171F"/>
        </w:rPr>
        <w:t>Controls and stop conditions.</w:t>
      </w:r>
    </w:p>
    <w:p>
      <w:pPr>
        <w:numPr>
          <w:ilvl w:val="0"/>
          <w:numId w:val="11"/>
        </w:numPr>
        <w:spacing w:after="80" w:line="300" w:lineRule="auto"/>
      </w:pPr>
      <w:r>
        <w:rPr>
          <w:rFonts w:ascii="Arial" w:hAnsi="Arial" w:eastAsia="Arial"/>
          <w:color w:val="16171F"/>
        </w:rPr>
        <w:t>Output, record, and handoff.</w:t>
      </w:r>
    </w:p>
    <w:p>
      <w:pPr>
        <w:pageBreakBefore/>
        <w:spacing w:after="120"/>
      </w:pPr>
      <w:r>
        <w:rPr>
          <w:rFonts w:ascii="Arial" w:hAnsi="Arial" w:eastAsia="Arial"/>
          <w:b/>
          <w:color w:val="8A5B00"/>
          <w:sz w:val="17"/>
        </w:rPr>
        <w:t>04  /  MAKE IT EXECUTABLE</w:t>
      </w:r>
    </w:p>
    <w:p>
      <w:pPr>
        <w:pStyle w:val="Heading1"/>
      </w:pPr>
      <w:r>
        <w:rPr>
          <w:rFonts w:ascii="Arial" w:hAnsi="Arial" w:eastAsia="Arial"/>
          <w:color w:val="16171F"/>
        </w:rPr>
        <w:t>Write actions, decisions, controls, and proof</w:t>
      </w:r>
    </w:p>
    <w:p>
      <w:pPr>
        <w:pStyle w:val="Lead"/>
      </w:pPr>
      <w:r>
        <w:rPr>
          <w:rFonts w:ascii="Arial" w:hAnsi="Arial" w:eastAsia="Arial"/>
          <w:b/>
          <w:color w:val="16171F"/>
          <w:sz w:val="25"/>
        </w:rPr>
        <w:t>A useful instruction removes operational guessing. The reader should know what to do, where to do it, what condition changes the route, and what proves completion.</w:t>
      </w:r>
    </w:p>
    <w:p>
      <w:pPr>
        <w:keepNext/>
        <w:spacing w:before="160" w:after="80"/>
      </w:pPr>
      <w:r>
        <w:rPr>
          <w:rFonts w:ascii="Arial" w:hAnsi="Arial" w:eastAsia="Arial"/>
          <w:b/>
          <w:color w:val="16171F"/>
          <w:sz w:val="23"/>
        </w:rPr>
        <w:t>Begin each instruction with a specific verb.</w:t>
      </w:r>
    </w:p>
    <w:p>
      <w:pPr>
        <w:spacing w:after="160" w:line="300" w:lineRule="auto"/>
      </w:pPr>
      <w:r>
        <w:rPr>
          <w:rFonts w:ascii="Arial" w:hAnsi="Arial" w:eastAsia="Arial"/>
          <w:color w:val="555B72"/>
          <w:sz w:val="22"/>
        </w:rPr>
        <w:t>Name one main action, the exact object or location, and the expected result when it is not obvious. Use approved system, field, form, and role names.</w:t>
      </w:r>
    </w:p>
    <w:p>
      <w:pPr>
        <w:keepNext/>
        <w:spacing w:before="160" w:after="80"/>
      </w:pPr>
      <w:r>
        <w:rPr>
          <w:rFonts w:ascii="Arial" w:hAnsi="Arial" w:eastAsia="Arial"/>
          <w:b/>
          <w:color w:val="16171F"/>
          <w:sz w:val="23"/>
        </w:rPr>
        <w:t>Turn judgment into observable rules.</w:t>
      </w:r>
    </w:p>
    <w:p>
      <w:pPr>
        <w:spacing w:after="160" w:line="300" w:lineRule="auto"/>
      </w:pPr>
      <w:r>
        <w:rPr>
          <w:rFonts w:ascii="Arial" w:hAnsi="Arial" w:eastAsia="Arial"/>
          <w:color w:val="555B72"/>
          <w:sz w:val="22"/>
        </w:rPr>
        <w:t>Write: If [condition], then [action]. If the condition cannot be confirmed, stop and escalate to [role]. Never hide a decision inside “as needed” or “use best judgment.”</w:t>
      </w:r>
    </w:p>
    <w:p>
      <w:pPr>
        <w:keepNext/>
        <w:spacing w:before="160" w:after="80"/>
      </w:pPr>
      <w:r>
        <w:rPr>
          <w:rFonts w:ascii="Arial" w:hAnsi="Arial" w:eastAsia="Arial"/>
          <w:b/>
          <w:color w:val="16171F"/>
          <w:sz w:val="23"/>
        </w:rPr>
        <w:t>Put the control where the risk occurs.</w:t>
      </w:r>
    </w:p>
    <w:p>
      <w:pPr>
        <w:spacing w:after="160" w:line="300" w:lineRule="auto"/>
      </w:pPr>
      <w:r>
        <w:rPr>
          <w:rFonts w:ascii="Arial" w:hAnsi="Arial" w:eastAsia="Arial"/>
          <w:color w:val="555B72"/>
          <w:sz w:val="22"/>
        </w:rPr>
        <w:t>Place warnings before hazardous or irreversible actions. Put quality checks immediately after the action they verify, with the pass condition and correction route.</w:t>
      </w:r>
    </w:p>
    <w:p>
      <w:pPr>
        <w:keepNext/>
        <w:spacing w:before="160" w:after="80"/>
      </w:pPr>
      <w:r>
        <w:rPr>
          <w:rFonts w:ascii="Arial" w:hAnsi="Arial" w:eastAsia="Arial"/>
          <w:b/>
          <w:color w:val="16171F"/>
          <w:sz w:val="23"/>
        </w:rPr>
        <w:t>End each critical step with proof.</w:t>
      </w:r>
    </w:p>
    <w:p>
      <w:pPr>
        <w:spacing w:after="160" w:line="300" w:lineRule="auto"/>
      </w:pPr>
      <w:r>
        <w:rPr>
          <w:rFonts w:ascii="Arial" w:hAnsi="Arial" w:eastAsia="Arial"/>
          <w:color w:val="555B72"/>
          <w:sz w:val="22"/>
        </w:rPr>
        <w:t>State what changes, what record is created, where it is stored, and who receives the handoff. Completion should be visible to someone who was not present.</w:t>
      </w:r>
    </w:p>
    <w:tbl>
      <w:tblPr>
        <w:tblW w:type="dxa" w:w="9360"/>
        <w:jc w:val="center"/>
        <w:tblLayout w:type="fixed"/>
        <w:tblLook w:firstColumn="1" w:firstRow="1" w:lastColumn="0" w:lastRow="0" w:noHBand="0" w:noVBand="1" w:val="04A0"/>
        <w:tblInd w:w="220" w:type="dxa"/>
        <w:tblBorders>
          <w:top w:val="single" w:sz="8" w:color="F2C14E"/>
          <w:start w:val="single" w:sz="8" w:color="F2C14E"/>
          <w:bottom w:val="single" w:sz="8" w:color="F2C14E"/>
          <w:end w:val="single" w:sz="8" w:color="F2C14E"/>
          <w:insideH w:val="single" w:sz="8" w:color="F2C14E"/>
          <w:insideV w:val="single" w:sz="8" w:color="F2C14E"/>
        </w:tblBorders>
      </w:tblPr>
      <w:tblGrid>
        <w:gridCol w:w="9360"/>
      </w:tblGrid>
      <w:tr>
        <w:trPr>
          <w:cantSplit/>
        </w:trPr>
        <w:tc>
          <w:tcPr>
            <w:tcW w:type="dxa" w:w="9360"/>
            <w:vAlign w:val="center"/>
            <w:tcMar>
              <w:top w:w="165" w:type="dxa"/>
              <w:start w:w="220" w:type="dxa"/>
              <w:bottom w:w="165" w:type="dxa"/>
              <w:end w:w="220" w:type="dxa"/>
            </w:tcMar>
            <w:shd w:fill="FFF7DF"/>
          </w:tcPr>
          <w:p>
            <w:pPr>
              <w:spacing w:before="0" w:after="0" w:line="288" w:lineRule="auto"/>
            </w:pPr>
            <w:r>
              <w:rPr>
                <w:rFonts w:ascii="Arial" w:hAnsi="Arial" w:eastAsia="Arial"/>
                <w:b/>
                <w:color w:val="8A5B00"/>
                <w:sz w:val="18"/>
              </w:rPr>
              <w:t xml:space="preserve">INSTRUCTION ANATOMY  </w:t>
            </w:r>
            <w:r>
              <w:rPr>
                <w:rFonts w:ascii="Arial" w:hAnsi="Arial" w:eastAsia="Arial"/>
                <w:b/>
                <w:color w:val="16171F"/>
                <w:sz w:val="21"/>
              </w:rPr>
              <w:t>Actor + action + object + exact location + acceptance condition + next route.</w:t>
            </w:r>
          </w:p>
        </w:tc>
      </w:tr>
    </w:tbl>
    <w:p>
      <w:pPr>
        <w:spacing w:before="0" w:after="80" w:line="240" w:lineRule="auto"/>
      </w:pPr>
      <w:r>
        <w:rPr>
          <w:rFonts w:ascii="Arial" w:hAnsi="Arial" w:eastAsia="Arial"/>
          <w:color w:val="FFFFFF"/>
          <w:sz w:val="2"/>
        </w:rPr>
        <w:t xml:space="preserve"> </w:t>
      </w:r>
    </w:p>
    <w:p>
      <w:pPr>
        <w:pStyle w:val="Heading2"/>
      </w:pPr>
      <w:r>
        <w:rPr>
          <w:rFonts w:ascii="Arial" w:hAnsi="Arial" w:eastAsia="Arial"/>
          <w:color w:val="8A5B00"/>
        </w:rPr>
        <w:t>Replace vague language at the source</w:t>
      </w:r>
    </w:p>
    <w:p>
      <w:pPr>
        <w:numPr>
          <w:ilvl w:val="0"/>
          <w:numId w:val="12"/>
        </w:numPr>
        <w:spacing w:after="80" w:line="300" w:lineRule="auto"/>
      </w:pPr>
      <w:r>
        <w:rPr>
          <w:rFonts w:ascii="Arial" w:hAnsi="Arial" w:eastAsia="Arial"/>
          <w:color w:val="16171F"/>
        </w:rPr>
        <w:t>Replace “quickly” with a time or service condition.</w:t>
      </w:r>
    </w:p>
    <w:p>
      <w:pPr>
        <w:numPr>
          <w:ilvl w:val="0"/>
          <w:numId w:val="12"/>
        </w:numPr>
        <w:spacing w:after="80" w:line="300" w:lineRule="auto"/>
      </w:pPr>
      <w:r>
        <w:rPr>
          <w:rFonts w:ascii="Arial" w:hAnsi="Arial" w:eastAsia="Arial"/>
          <w:color w:val="16171F"/>
        </w:rPr>
        <w:t>Replace “check everything” with named fields and a pass condition.</w:t>
      </w:r>
    </w:p>
    <w:p>
      <w:pPr>
        <w:numPr>
          <w:ilvl w:val="0"/>
          <w:numId w:val="12"/>
        </w:numPr>
        <w:spacing w:after="80" w:line="300" w:lineRule="auto"/>
      </w:pPr>
      <w:r>
        <w:rPr>
          <w:rFonts w:ascii="Arial" w:hAnsi="Arial" w:eastAsia="Arial"/>
          <w:color w:val="16171F"/>
        </w:rPr>
        <w:t>Replace “handle appropriately” with an observable branch and owner.</w:t>
      </w:r>
    </w:p>
    <w:p>
      <w:pPr>
        <w:numPr>
          <w:ilvl w:val="0"/>
          <w:numId w:val="12"/>
        </w:numPr>
        <w:spacing w:after="80" w:line="300" w:lineRule="auto"/>
      </w:pPr>
      <w:r>
        <w:rPr>
          <w:rFonts w:ascii="Arial" w:hAnsi="Arial" w:eastAsia="Arial"/>
          <w:color w:val="16171F"/>
        </w:rPr>
        <w:t>Replace “try again” with retry eligibility, limit, and escalation.</w:t>
      </w:r>
    </w:p>
    <w:p>
      <w:pPr>
        <w:pageBreakBefore/>
        <w:spacing w:after="120"/>
      </w:pPr>
      <w:r>
        <w:rPr>
          <w:rFonts w:ascii="Arial" w:hAnsi="Arial" w:eastAsia="Arial"/>
          <w:b/>
          <w:color w:val="8A5B00"/>
          <w:sz w:val="17"/>
        </w:rPr>
        <w:t>05  /  PROVE IT WORKS</w:t>
      </w:r>
    </w:p>
    <w:p>
      <w:pPr>
        <w:pStyle w:val="Heading1"/>
      </w:pPr>
      <w:r>
        <w:rPr>
          <w:rFonts w:ascii="Arial" w:hAnsi="Arial" w:eastAsia="Arial"/>
          <w:color w:val="16171F"/>
        </w:rPr>
        <w:t>Test the SOP with a representative user</w:t>
      </w:r>
    </w:p>
    <w:p>
      <w:pPr>
        <w:pStyle w:val="Lead"/>
      </w:pPr>
      <w:r>
        <w:rPr>
          <w:rFonts w:ascii="Arial" w:hAnsi="Arial" w:eastAsia="Arial"/>
          <w:b/>
          <w:color w:val="16171F"/>
          <w:sz w:val="25"/>
        </w:rPr>
        <w:t>A polished document is still a hypothesis. The release evidence is a qualified person completing realistic work without coaching from the author.</w:t>
      </w:r>
    </w:p>
    <w:p>
      <w:pPr>
        <w:keepNext/>
        <w:spacing w:before="160" w:after="80"/>
      </w:pPr>
      <w:r>
        <w:rPr>
          <w:rFonts w:ascii="Arial" w:hAnsi="Arial" w:eastAsia="Arial"/>
          <w:b/>
          <w:color w:val="16171F"/>
          <w:sz w:val="23"/>
        </w:rPr>
        <w:t>Test with someone who did not write it.</w:t>
      </w:r>
    </w:p>
    <w:p>
      <w:pPr>
        <w:spacing w:after="160" w:line="300" w:lineRule="auto"/>
      </w:pPr>
      <w:r>
        <w:rPr>
          <w:rFonts w:ascii="Arial" w:hAnsi="Arial" w:eastAsia="Arial"/>
          <w:color w:val="555B72"/>
          <w:sz w:val="22"/>
        </w:rPr>
        <w:t>Give the user realistic inputs and the normal access they would have at work. Observe silently unless safety requires intervention.</w:t>
      </w:r>
    </w:p>
    <w:p>
      <w:pPr>
        <w:keepNext/>
        <w:spacing w:before="160" w:after="80"/>
      </w:pPr>
      <w:r>
        <w:rPr>
          <w:rFonts w:ascii="Arial" w:hAnsi="Arial" w:eastAsia="Arial"/>
          <w:b/>
          <w:color w:val="16171F"/>
          <w:sz w:val="23"/>
        </w:rPr>
        <w:t>Record friction as a defect, not a user problem.</w:t>
      </w:r>
    </w:p>
    <w:p>
      <w:pPr>
        <w:spacing w:after="160" w:line="300" w:lineRule="auto"/>
      </w:pPr>
      <w:r>
        <w:rPr>
          <w:rFonts w:ascii="Arial" w:hAnsi="Arial" w:eastAsia="Arial"/>
          <w:color w:val="555B72"/>
          <w:sz w:val="22"/>
        </w:rPr>
        <w:t>Capture questions, pauses, searching, wrong turns, skipped or misordered steps, unsafe actions, missing access, output accuracy, and completion time.</w:t>
      </w:r>
    </w:p>
    <w:p>
      <w:pPr>
        <w:keepNext/>
        <w:spacing w:before="160" w:after="80"/>
      </w:pPr>
      <w:r>
        <w:rPr>
          <w:rFonts w:ascii="Arial" w:hAnsi="Arial" w:eastAsia="Arial"/>
          <w:b/>
          <w:color w:val="16171F"/>
          <w:sz w:val="23"/>
        </w:rPr>
        <w:t>Fix critical defects and repeat the affected test.</w:t>
      </w:r>
    </w:p>
    <w:p>
      <w:pPr>
        <w:spacing w:after="160" w:line="300" w:lineRule="auto"/>
      </w:pPr>
      <w:r>
        <w:rPr>
          <w:rFonts w:ascii="Arial" w:hAnsi="Arial" w:eastAsia="Arial"/>
          <w:color w:val="555B72"/>
          <w:sz w:val="22"/>
        </w:rPr>
        <w:t>The SOP is ready only when the representative user reaches the correct end state, creates the required evidence, and does not need hidden knowledge to make decisions.</w:t>
      </w:r>
    </w:p>
    <w:p>
      <w:pPr>
        <w:pStyle w:val="Heading2"/>
      </w:pPr>
      <w:r>
        <w:rPr>
          <w:rFonts w:ascii="Arial" w:hAnsi="Arial" w:eastAsia="Arial"/>
          <w:color w:val="8A5B00"/>
        </w:rPr>
        <w:t>Release gate</w:t>
      </w:r>
    </w:p>
    <w:p>
      <w:pPr>
        <w:numPr>
          <w:ilvl w:val="0"/>
          <w:numId w:val="13"/>
        </w:numPr>
        <w:spacing w:after="80" w:line="300" w:lineRule="auto"/>
      </w:pPr>
      <w:r>
        <w:rPr>
          <w:rFonts w:ascii="Arial" w:hAnsi="Arial" w:eastAsia="Arial"/>
          <w:color w:val="16171F"/>
        </w:rPr>
        <w:t>The process owner confirms the sequence, decisions, and boundaries.</w:t>
      </w:r>
    </w:p>
    <w:p>
      <w:pPr>
        <w:numPr>
          <w:ilvl w:val="0"/>
          <w:numId w:val="13"/>
        </w:numPr>
        <w:spacing w:after="80" w:line="300" w:lineRule="auto"/>
      </w:pPr>
      <w:r>
        <w:rPr>
          <w:rFonts w:ascii="Arial" w:hAnsi="Arial" w:eastAsia="Arial"/>
          <w:color w:val="16171F"/>
        </w:rPr>
        <w:t>Required safety, legal, financial, privacy, security, or compliance reviewers confirm the controls.</w:t>
      </w:r>
    </w:p>
    <w:p>
      <w:pPr>
        <w:numPr>
          <w:ilvl w:val="0"/>
          <w:numId w:val="13"/>
        </w:numPr>
        <w:spacing w:after="80" w:line="300" w:lineRule="auto"/>
      </w:pPr>
      <w:r>
        <w:rPr>
          <w:rFonts w:ascii="Arial" w:hAnsi="Arial" w:eastAsia="Arial"/>
          <w:color w:val="16171F"/>
        </w:rPr>
        <w:t>A representative user completes the process without live coaching.</w:t>
      </w:r>
    </w:p>
    <w:p>
      <w:pPr>
        <w:numPr>
          <w:ilvl w:val="0"/>
          <w:numId w:val="13"/>
        </w:numPr>
        <w:spacing w:after="80" w:line="300" w:lineRule="auto"/>
      </w:pPr>
      <w:r>
        <w:rPr>
          <w:rFonts w:ascii="Arial" w:hAnsi="Arial" w:eastAsia="Arial"/>
          <w:color w:val="16171F"/>
        </w:rPr>
        <w:t>The owner approves one version, one publication location, and the effective date.</w:t>
      </w:r>
    </w:p>
    <w:p>
      <w:pPr>
        <w:numPr>
          <w:ilvl w:val="0"/>
          <w:numId w:val="13"/>
        </w:numPr>
        <w:spacing w:after="80" w:line="300" w:lineRule="auto"/>
      </w:pPr>
      <w:r>
        <w:rPr>
          <w:rFonts w:ascii="Arial" w:hAnsi="Arial" w:eastAsia="Arial"/>
          <w:color w:val="16171F"/>
        </w:rPr>
        <w:t>Superseded copies are archived or redirected so users cannot choose the wrong version.</w:t>
      </w:r>
    </w:p>
    <w:tbl>
      <w:tblPr>
        <w:tblW w:type="dxa" w:w="9360"/>
        <w:jc w:val="center"/>
        <w:tblLayout w:type="fixed"/>
        <w:tblLook w:firstColumn="1" w:firstRow="1" w:lastColumn="0" w:lastRow="0" w:noHBand="0" w:noVBand="1" w:val="04A0"/>
        <w:tblInd w:w="220" w:type="dxa"/>
        <w:tblBorders>
          <w:top w:val="single" w:sz="8" w:color="F2C14E"/>
          <w:start w:val="single" w:sz="8" w:color="F2C14E"/>
          <w:bottom w:val="single" w:sz="8" w:color="F2C14E"/>
          <w:end w:val="single" w:sz="8" w:color="F2C14E"/>
          <w:insideH w:val="single" w:sz="8" w:color="F2C14E"/>
          <w:insideV w:val="single" w:sz="8" w:color="F2C14E"/>
        </w:tblBorders>
      </w:tblPr>
      <w:tblGrid>
        <w:gridCol w:w="9360"/>
      </w:tblGrid>
      <w:tr>
        <w:trPr>
          <w:cantSplit/>
        </w:trPr>
        <w:tc>
          <w:tcPr>
            <w:tcW w:type="dxa" w:w="9360"/>
            <w:vAlign w:val="center"/>
            <w:tcMar>
              <w:top w:w="165" w:type="dxa"/>
              <w:start w:w="220" w:type="dxa"/>
              <w:bottom w:w="165" w:type="dxa"/>
              <w:end w:w="220" w:type="dxa"/>
            </w:tcMar>
            <w:shd w:fill="FFF7DF"/>
          </w:tcPr>
          <w:p>
            <w:pPr>
              <w:spacing w:before="0" w:after="0" w:line="288" w:lineRule="auto"/>
            </w:pPr>
            <w:r>
              <w:rPr>
                <w:rFonts w:ascii="Arial" w:hAnsi="Arial" w:eastAsia="Arial"/>
                <w:b/>
                <w:color w:val="8A5B00"/>
                <w:sz w:val="18"/>
              </w:rPr>
              <w:t xml:space="preserve">STOP RELEASE  </w:t>
            </w:r>
            <w:r>
              <w:rPr>
                <w:rFonts w:ascii="Arial" w:hAnsi="Arial" w:eastAsia="Arial"/>
                <w:b/>
                <w:color w:val="16171F"/>
                <w:sz w:val="21"/>
              </w:rPr>
              <w:t>Do not publish while a failed safety, legal, compliance, privacy, security, or mandatory quality check remains open.</w:t>
            </w:r>
          </w:p>
        </w:tc>
      </w:tr>
    </w:tbl>
    <w:p>
      <w:pPr>
        <w:spacing w:before="0" w:after="80" w:line="240" w:lineRule="auto"/>
      </w:pPr>
      <w:r>
        <w:rPr>
          <w:rFonts w:ascii="Arial" w:hAnsi="Arial" w:eastAsia="Arial"/>
          <w:color w:val="FFFFFF"/>
          <w:sz w:val="2"/>
        </w:rPr>
        <w:t xml:space="preserve"> </w:t>
      </w:r>
    </w:p>
    <w:p>
      <w:pPr>
        <w:pageBreakBefore/>
        <w:spacing w:after="120"/>
      </w:pPr>
      <w:r>
        <w:rPr>
          <w:rFonts w:ascii="Arial" w:hAnsi="Arial" w:eastAsia="Arial"/>
          <w:b/>
          <w:color w:val="8A5B00"/>
          <w:sz w:val="17"/>
        </w:rPr>
        <w:t>06  /  KEEP IT TRUE</w:t>
      </w:r>
    </w:p>
    <w:p>
      <w:pPr>
        <w:pStyle w:val="Heading1"/>
      </w:pPr>
      <w:r>
        <w:rPr>
          <w:rFonts w:ascii="Arial" w:hAnsi="Arial" w:eastAsia="Arial"/>
          <w:color w:val="16171F"/>
        </w:rPr>
        <w:t>Measure the process and maintain the source of truth</w:t>
      </w:r>
    </w:p>
    <w:p>
      <w:pPr>
        <w:pStyle w:val="Lead"/>
      </w:pPr>
      <w:r>
        <w:rPr>
          <w:rFonts w:ascii="Arial" w:hAnsi="Arial" w:eastAsia="Arial"/>
          <w:b/>
          <w:color w:val="16171F"/>
          <w:sz w:val="25"/>
        </w:rPr>
        <w:t>The SOP is not the goal. The operating result is. Monitor the smallest set of evidence that proves the process works and review the document when reality changes.</w:t>
      </w:r>
    </w:p>
    <w:p>
      <w:pPr>
        <w:keepNext/>
        <w:spacing w:before="160" w:after="80"/>
      </w:pPr>
      <w:r>
        <w:rPr>
          <w:rFonts w:ascii="Arial" w:hAnsi="Arial" w:eastAsia="Arial"/>
          <w:b/>
          <w:color w:val="16171F"/>
          <w:sz w:val="23"/>
        </w:rPr>
        <w:t>Choose evidence that proves the outcome.</w:t>
      </w:r>
    </w:p>
    <w:p>
      <w:pPr>
        <w:spacing w:after="160" w:line="300" w:lineRule="auto"/>
      </w:pPr>
      <w:r>
        <w:rPr>
          <w:rFonts w:ascii="Arial" w:hAnsi="Arial" w:eastAsia="Arial"/>
          <w:color w:val="555B72"/>
          <w:sz w:val="22"/>
        </w:rPr>
        <w:t>Use a small set of quality, time, cost, risk, and completion signals. Each signal needs a source, owner, review frequency, and locally approved threshold.</w:t>
      </w:r>
    </w:p>
    <w:p>
      <w:pPr>
        <w:keepNext/>
        <w:spacing w:before="160" w:after="80"/>
      </w:pPr>
      <w:r>
        <w:rPr>
          <w:rFonts w:ascii="Arial" w:hAnsi="Arial" w:eastAsia="Arial"/>
          <w:b/>
          <w:color w:val="16171F"/>
          <w:sz w:val="23"/>
        </w:rPr>
        <w:t>Connect actions to the evidence they can change.</w:t>
      </w:r>
    </w:p>
    <w:p>
      <w:pPr>
        <w:spacing w:after="160" w:line="300" w:lineRule="auto"/>
      </w:pPr>
      <w:r>
        <w:rPr>
          <w:rFonts w:ascii="Arial" w:hAnsi="Arial" w:eastAsia="Arial"/>
          <w:color w:val="555B72"/>
          <w:sz w:val="22"/>
        </w:rPr>
        <w:t>When a result moves, inspect the decision, control, handoff, or behaviour that can influence it. Training completion and document views are supporting signals; they do not prove correct execution.</w:t>
      </w:r>
    </w:p>
    <w:p>
      <w:pPr>
        <w:keepNext/>
        <w:spacing w:before="160" w:after="80"/>
      </w:pPr>
      <w:r>
        <w:rPr>
          <w:rFonts w:ascii="Arial" w:hAnsi="Arial" w:eastAsia="Arial"/>
          <w:b/>
          <w:color w:val="16171F"/>
          <w:sz w:val="23"/>
        </w:rPr>
        <w:t>Review on schedule and when the process changes.</w:t>
      </w:r>
    </w:p>
    <w:p>
      <w:pPr>
        <w:spacing w:after="160" w:line="300" w:lineRule="auto"/>
      </w:pPr>
      <w:r>
        <w:rPr>
          <w:rFonts w:ascii="Arial" w:hAnsi="Arial" w:eastAsia="Arial"/>
          <w:color w:val="555B72"/>
          <w:sz w:val="22"/>
        </w:rPr>
        <w:t>Trigger early review after an incident, audit finding, recurring question, system or policy change, broken link, new owner, or performance drift.</w:t>
      </w:r>
    </w:p>
    <w:p>
      <w:pPr>
        <w:keepNext/>
        <w:spacing w:before="160" w:after="80"/>
      </w:pPr>
      <w:r>
        <w:rPr>
          <w:rFonts w:ascii="Arial" w:hAnsi="Arial" w:eastAsia="Arial"/>
          <w:b/>
          <w:color w:val="16171F"/>
          <w:sz w:val="23"/>
        </w:rPr>
        <w:t>Retire old truth deliberately.</w:t>
      </w:r>
    </w:p>
    <w:p>
      <w:pPr>
        <w:spacing w:after="160" w:line="300" w:lineRule="auto"/>
      </w:pPr>
      <w:r>
        <w:rPr>
          <w:rFonts w:ascii="Arial" w:hAnsi="Arial" w:eastAsia="Arial"/>
          <w:color w:val="555B72"/>
          <w:sz w:val="22"/>
        </w:rPr>
        <w:t>Publish one authoritative version. Record revision history, redirect links, archive superseded copies, and communicate changes to affected users.</w:t>
      </w:r>
    </w:p>
    <w:p>
      <w:pPr>
        <w:pStyle w:val="Heading2"/>
      </w:pPr>
      <w:r>
        <w:rPr>
          <w:rFonts w:ascii="Arial" w:hAnsi="Arial" w:eastAsia="Arial"/>
          <w:color w:val="8A5B00"/>
        </w:rPr>
        <w:t>The final authoring loop</w:t>
      </w:r>
    </w:p>
    <w:p>
      <w:pPr>
        <w:numPr>
          <w:ilvl w:val="0"/>
          <w:numId w:val="14"/>
        </w:numPr>
        <w:spacing w:after="80" w:line="300" w:lineRule="auto"/>
      </w:pPr>
      <w:r>
        <w:rPr>
          <w:rFonts w:ascii="Arial" w:hAnsi="Arial" w:eastAsia="Arial"/>
          <w:color w:val="16171F"/>
        </w:rPr>
        <w:t>Define the observable result and boundary.</w:t>
      </w:r>
    </w:p>
    <w:p>
      <w:pPr>
        <w:numPr>
          <w:ilvl w:val="0"/>
          <w:numId w:val="14"/>
        </w:numPr>
        <w:spacing w:after="80" w:line="300" w:lineRule="auto"/>
      </w:pPr>
      <w:r>
        <w:rPr>
          <w:rFonts w:ascii="Arial" w:hAnsi="Arial" w:eastAsia="Arial"/>
          <w:color w:val="16171F"/>
        </w:rPr>
        <w:t>Observe the real work and resolve material gaps.</w:t>
      </w:r>
    </w:p>
    <w:p>
      <w:pPr>
        <w:numPr>
          <w:ilvl w:val="0"/>
          <w:numId w:val="14"/>
        </w:numPr>
        <w:spacing w:after="80" w:line="300" w:lineRule="auto"/>
      </w:pPr>
      <w:r>
        <w:rPr>
          <w:rFonts w:ascii="Arial" w:hAnsi="Arial" w:eastAsia="Arial"/>
          <w:color w:val="16171F"/>
        </w:rPr>
        <w:t>Narrow context around each critical step.</w:t>
      </w:r>
    </w:p>
    <w:p>
      <w:pPr>
        <w:numPr>
          <w:ilvl w:val="0"/>
          <w:numId w:val="14"/>
        </w:numPr>
        <w:spacing w:after="80" w:line="300" w:lineRule="auto"/>
      </w:pPr>
      <w:r>
        <w:rPr>
          <w:rFonts w:ascii="Arial" w:hAnsi="Arial" w:eastAsia="Arial"/>
          <w:color w:val="16171F"/>
        </w:rPr>
        <w:t>Simplify the path before documenting it.</w:t>
      </w:r>
    </w:p>
    <w:p>
      <w:pPr>
        <w:numPr>
          <w:ilvl w:val="0"/>
          <w:numId w:val="14"/>
        </w:numPr>
        <w:spacing w:after="80" w:line="300" w:lineRule="auto"/>
      </w:pPr>
      <w:r>
        <w:rPr>
          <w:rFonts w:ascii="Arial" w:hAnsi="Arial" w:eastAsia="Arial"/>
          <w:color w:val="16171F"/>
        </w:rPr>
        <w:t>Write exact actions, branches, controls, and proof.</w:t>
      </w:r>
    </w:p>
    <w:p>
      <w:pPr>
        <w:numPr>
          <w:ilvl w:val="0"/>
          <w:numId w:val="14"/>
        </w:numPr>
        <w:spacing w:after="80" w:line="300" w:lineRule="auto"/>
      </w:pPr>
      <w:r>
        <w:rPr>
          <w:rFonts w:ascii="Arial" w:hAnsi="Arial" w:eastAsia="Arial"/>
          <w:color w:val="16171F"/>
        </w:rPr>
        <w:t>Test with a representative user; fix and retest.</w:t>
      </w:r>
    </w:p>
    <w:p>
      <w:pPr>
        <w:numPr>
          <w:ilvl w:val="0"/>
          <w:numId w:val="14"/>
        </w:numPr>
        <w:spacing w:after="80" w:line="300" w:lineRule="auto"/>
      </w:pPr>
      <w:r>
        <w:rPr>
          <w:rFonts w:ascii="Arial" w:hAnsi="Arial" w:eastAsia="Arial"/>
          <w:color w:val="16171F"/>
        </w:rPr>
        <w:t>Approve one controlled version; monitor and maintain it.</w:t>
      </w:r>
    </w:p>
    <w:tbl>
      <w:tblPr>
        <w:tblW w:type="dxa" w:w="9360"/>
        <w:jc w:val="center"/>
        <w:tblLayout w:type="fixed"/>
        <w:tblLook w:firstColumn="1" w:firstRow="1" w:lastColumn="0" w:lastRow="0" w:noHBand="0" w:noVBand="1" w:val="04A0"/>
        <w:tblInd w:w="220" w:type="dxa"/>
        <w:tblBorders>
          <w:top w:val="single" w:sz="8" w:color="F2C14E"/>
          <w:start w:val="single" w:sz="8" w:color="F2C14E"/>
          <w:bottom w:val="single" w:sz="8" w:color="F2C14E"/>
          <w:end w:val="single" w:sz="8" w:color="F2C14E"/>
          <w:insideH w:val="single" w:sz="8" w:color="F2C14E"/>
          <w:insideV w:val="single" w:sz="8" w:color="F2C14E"/>
        </w:tblBorders>
      </w:tblPr>
      <w:tblGrid>
        <w:gridCol w:w="9360"/>
      </w:tblGrid>
      <w:tr>
        <w:trPr>
          <w:cantSplit/>
        </w:trPr>
        <w:tc>
          <w:tcPr>
            <w:tcW w:type="dxa" w:w="9360"/>
            <w:vAlign w:val="center"/>
            <w:tcMar>
              <w:top w:w="165" w:type="dxa"/>
              <w:start w:w="220" w:type="dxa"/>
              <w:bottom w:w="165" w:type="dxa"/>
              <w:end w:w="220" w:type="dxa"/>
            </w:tcMar>
            <w:shd w:fill="FFF7DF"/>
          </w:tcPr>
          <w:p>
            <w:pPr>
              <w:spacing w:before="0" w:after="0" w:line="288" w:lineRule="auto"/>
            </w:pPr>
            <w:r>
              <w:rPr>
                <w:rFonts w:ascii="Arial" w:hAnsi="Arial" w:eastAsia="Arial"/>
                <w:b/>
                <w:color w:val="8A5B00"/>
                <w:sz w:val="18"/>
              </w:rPr>
              <w:t xml:space="preserve">FINAL TEST  </w:t>
            </w:r>
            <w:r>
              <w:rPr>
                <w:rFonts w:ascii="Arial" w:hAnsi="Arial" w:eastAsia="Arial"/>
                <w:b/>
                <w:color w:val="16171F"/>
                <w:sz w:val="21"/>
              </w:rPr>
              <w:t>Can a qualified person complete the process correctly, safely, and without live coaching? If not, improve the SOP or the prerequisite training, then test again.</w:t>
            </w:r>
          </w:p>
        </w:tc>
      </w:tr>
    </w:tbl>
    <w:p>
      <w:pPr>
        <w:spacing w:before="0" w:after="80" w:line="240" w:lineRule="auto"/>
      </w:pPr>
      <w:r>
        <w:rPr>
          <w:rFonts w:ascii="Arial" w:hAnsi="Arial" w:eastAsia="Arial"/>
          <w:color w:val="FFFFFF"/>
          <w:sz w:val="2"/>
        </w:rPr>
        <w:t xml:space="preserve"> </w:t>
      </w:r>
    </w:p>
    <w:sectPr w:rsidR="00FC693F" w:rsidRPr="0006063C" w:rsidSect="00034616">
      <w:footerReference w:type="even" r:id="rId10"/>
      <w:headerReference w:type="even" r:id="rId9"/>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color w:val="555B72"/>
        <w:sz w:val="16"/>
      </w:rPr>
      <w:t xml:space="preserve">PAGE </w:t>
    </w:r>
    <w:r>
      <w:rPr>
        <w:rFonts w:ascii="Arial" w:hAnsi="Arial" w:eastAsia="Arial"/>
        <w:b/>
        <w:color w:val="555B72"/>
        <w:sz w:val="16"/>
      </w:rPr>
      <w:fldChar w:fldCharType="begin"/>
    </w:r>
    <w:r>
      <w:rPr>
        <w:rFonts w:ascii="Arial" w:hAnsi="Arial" w:eastAsia="Arial"/>
        <w:b/>
        <w:color w:val="555B72"/>
        <w:sz w:val="16"/>
      </w:rPr>
      <w:instrText xml:space="preserve">PAGE</w:instrText>
    </w:r>
    <w:r>
      <w:rPr>
        <w:rFonts w:ascii="Arial" w:hAnsi="Arial" w:eastAsia="Arial"/>
        <w:b/>
        <w:color w:val="555B72"/>
        <w:sz w:val="16"/>
      </w:rPr>
      <w:fldChar w:fldCharType="separate"/>
    </w:r>
    <w:r>
      <w:rPr>
        <w:rFonts w:ascii="Arial" w:hAnsi="Arial" w:eastAsia="Arial"/>
        <w:b/>
        <w:color w:val="555B72"/>
        <w:sz w:val="16"/>
      </w:rPr>
      <w:t>1</w:t>
    </w:r>
    <w:r>
      <w:rPr>
        <w:rFonts w:ascii="Arial" w:hAnsi="Arial" w:eastAsia="Arial"/>
        <w:b/>
        <w:color w:val="555B72"/>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b/>
        <w:color w:val="555B72"/>
        <w:sz w:val="16"/>
      </w:rPr>
      <w:t>AITOC.io  /  SOP CREATION GUIDELINE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A"/>
    <w:multiLevelType w:val="singleLevel"/>
    <w:lvl w:ilvl="0">
      <w:start w:val="1"/>
      <w:numFmt w:val="bullet"/>
      <w:lvlText w:val="•"/>
      <w:suff w:val="tab"/>
      <w:pPr>
        <w:tabs>
          <w:tab w:val="num" w:pos="540"/>
        </w:tabs>
        <w:ind w:left="540" w:hanging="270"/>
      </w:pPr>
      <w:rPr>
        <w:rFonts w:ascii="Arial" w:hAnsi="Arial"/>
      </w:rPr>
    </w:lvl>
  </w:abstractNum>
  <w:abstractNum w:abstractNumId="10">
    <w:nsid w:val="0000000B"/>
    <w:multiLevelType w:val="singleLevel"/>
    <w:lvl w:ilvl="0">
      <w:start w:val="1"/>
      <w:numFmt w:val="decimal"/>
      <w:lvlText w:val="%1."/>
      <w:suff w:val="tab"/>
      <w:pPr>
        <w:tabs>
          <w:tab w:val="num" w:pos="540"/>
        </w:tabs>
        <w:ind w:left="540" w:hanging="270"/>
      </w:pPr>
      <w:rPr>
        <w:rFonts w:ascii="Arial" w:hAnsi="Arial"/>
      </w:rPr>
    </w:lvl>
  </w:abstractNum>
  <w:abstractNum w:abstractNumId="11">
    <w:nsid w:val="0000000C"/>
    <w:multiLevelType w:val="singleLevel"/>
    <w:lvl w:ilvl="0">
      <w:start w:val="1"/>
      <w:numFmt w:val="bullet"/>
      <w:lvlText w:val="•"/>
      <w:suff w:val="tab"/>
      <w:pPr>
        <w:tabs>
          <w:tab w:val="num" w:pos="540"/>
        </w:tabs>
        <w:ind w:left="540" w:hanging="270"/>
      </w:pPr>
      <w:rPr>
        <w:rFonts w:ascii="Arial" w:hAnsi="Arial"/>
      </w:rPr>
    </w:lvl>
  </w:abstractNum>
  <w:abstractNum w:abstractNumId="12">
    <w:nsid w:val="0000000D"/>
    <w:multiLevelType w:val="singleLevel"/>
    <w:lvl w:ilvl="0">
      <w:start w:val="1"/>
      <w:numFmt w:val="bullet"/>
      <w:lvlText w:val="•"/>
      <w:suff w:val="tab"/>
      <w:pPr>
        <w:tabs>
          <w:tab w:val="num" w:pos="540"/>
        </w:tabs>
        <w:ind w:left="540" w:hanging="270"/>
      </w:pPr>
      <w:rPr>
        <w:rFonts w:ascii="Arial" w:hAnsi="Arial"/>
      </w:rPr>
    </w:lvl>
  </w:abstractNum>
  <w:abstractNum w:abstractNumId="13">
    <w:nsid w:val="0000000E"/>
    <w:multiLevelType w:val="singleLevel"/>
    <w:lvl w:ilvl="0">
      <w:start w:val="1"/>
      <w:numFmt w:val="decimal"/>
      <w:lvlText w:val="%1."/>
      <w:suff w:val="tab"/>
      <w:pPr>
        <w:tabs>
          <w:tab w:val="num" w:pos="540"/>
        </w:tabs>
        <w:ind w:left="540" w:hanging="270"/>
      </w:pPr>
      <w:rPr>
        <w:rFonts w:ascii="Arial" w:hAnsi="Aria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color w:val="16171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200"/>
      <w:outlineLvl w:val="0"/>
    </w:pPr>
    <w:rPr>
      <w:rFonts w:asciiTheme="majorHAnsi" w:eastAsiaTheme="majorEastAsia" w:hAnsiTheme="majorHAnsi" w:cstheme="majorBidi" w:ascii="Arial" w:hAnsi="Arial"/>
      <w:b/>
      <w:bCs/>
      <w:color w:val="16171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b/>
      <w:bCs/>
      <w:color w:val="8A5B00"/>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16171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6171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440"/>
    </w:pPr>
    <w:rPr>
      <w:rFonts w:asciiTheme="majorHAnsi" w:eastAsiaTheme="majorEastAsia" w:hAnsiTheme="majorHAnsi" w:cstheme="majorBidi" w:ascii="Arial" w:hAnsi="Arial"/>
      <w:b w:val="0"/>
      <w:i/>
      <w:iCs/>
      <w:color w:val="555B72"/>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320" w:line="300" w:lineRule="auto"/>
    </w:pPr>
    <w:rPr>
      <w:rFonts w:ascii="Arial" w:hAnsi="Arial"/>
      <w:b/>
      <w:color w:val="16171F"/>
      <w:sz w:val="25"/>
    </w:rPr>
  </w:style>
  <w:style w:type="paragraph" w:customStyle="1" w:styleId="Callout">
    <w:name w:val="Callout"/>
    <w:pPr>
      <w:spacing w:after="200" w:line="288" w:lineRule="auto"/>
      <w:ind w:left="173" w:right="173"/>
    </w:pPr>
    <w:rPr>
      <w:rFonts w:ascii="Arial" w:hAnsi="Arial"/>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AITOC SOP Creation Guideline</dc:title>
  <dc:subject>A concise AITOC decision guide for human-executed SOPs</dc:subject>
  <dc:creator>AITOC</dc:creator>
  <cp:keywords>AITOC, SOP, standard operating procedure, human training, focused context</cp:keywords>
  <dc:description>generated by python-docx</dc:description>
  <cp:lastModifiedBy>AITOC</cp:lastModifiedBy>
  <cp:revision>1</cp:revision>
  <dcterms:created xsi:type="dcterms:W3CDTF">2013-12-23T23:15:00Z</dcterms:created>
  <dcterms:modified xsi:type="dcterms:W3CDTF">2013-12-23T23:15:00Z</dcterms:modified>
  <cp:category/>
</cp:coreProperties>
</file>