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280"/>
      </w:pPr>
      <w:r>
        <w:t>SOP: [Clear action-oriented title]</w:t>
      </w:r>
    </w:p>
    <w:p>
      <w:pPr>
        <w:jc w:val="left"/>
      </w:pPr>
      <w:r>
        <w:rPr>
          <w:color w:val="F2C14E"/>
          <w:sz w:val="26"/>
        </w:rPr>
        <w:t>AITOC.io  /  A structured template for procedures people can execute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2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FF7DF"/>
            <w:tcMar>
              <w:top w:w="175" w:type="dxa"/>
              <w:start w:w="220" w:type="dxa"/>
              <w:bottom w:w="175" w:type="dxa"/>
              <w:end w:w="22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sz w:val="20"/>
              </w:rPr>
              <w:t>HOW TO USE  Replace every bracketed prompt. Delete guidance that does not apply. Do not approve the SOP until a representative user has tested it.</w:t>
            </w:r>
          </w:p>
        </w:tc>
      </w:tr>
    </w:tbl>
    <w:p>
      <w:pPr/>
    </w:p>
    <w:p>
      <w:pPr>
        <w:pStyle w:val="Heading1"/>
      </w:pPr>
      <w:r>
        <w:t>Document control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AD4DE"/>
          <w:left w:val="single" w:sz="6" w:space="0" w:color="CAD4DE"/>
          <w:bottom w:val="single" w:sz="6" w:space="0" w:color="CAD4DE"/>
          <w:right w:val="single" w:sz="6" w:space="0" w:color="CAD4DE"/>
          <w:insideH w:val="single" w:sz="6" w:space="0" w:color="CAD4DE"/>
          <w:insideV w:val="single" w:sz="6" w:space="0" w:color="CAD4DE"/>
        </w:tblBorders>
        <w:tblInd w:w="180" w:type="dxa"/>
      </w:tblPr>
      <w:tblGrid>
        <w:gridCol w:w="2880"/>
        <w:gridCol w:w="6480"/>
      </w:tblGrid>
      <w:tr>
        <w:trPr>
          <w:tblHeader w:val="true"/>
          <w:cantSplit/>
        </w:trPr>
        <w:tc>
          <w:tcPr>
            <w:tcW w:type="dxa" w:w="28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64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Value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SOP ID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[Department-process-number]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Process owner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[Role accountable for accuracy]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Approved by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[Role with approval authority]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Version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[0.1 draft / 1.0 approved]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Effective date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[YYYY-MM-DD]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Review date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[YYYY-MM-DD]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Status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[Draft / Approved / Retired]</w:t>
            </w:r>
          </w:p>
        </w:tc>
      </w:tr>
    </w:tbl>
    <w:p>
      <w:pPr/>
    </w:p>
    <w:p>
      <w:pPr>
        <w:pStyle w:val="Heading1"/>
      </w:pPr>
      <w:r>
        <w:t>1. Purpose</w:t>
      </w:r>
    </w:p>
    <w:p>
      <w:pPr>
        <w:pStyle w:val="BodyText"/>
      </w:pPr>
      <w:r>
        <w:rPr>
          <w:i/>
          <w:color w:val="4A5070"/>
        </w:rPr>
        <w:t>[State the result this SOP must produce and why consistency matters.]</w:t>
      </w:r>
    </w:p>
    <w:p>
      <w:pPr/>
      <w:r>
        <w:br w:type="page"/>
      </w:r>
    </w:p>
    <w:p>
      <w:pPr>
        <w:pStyle w:val="Heading1"/>
      </w:pPr>
      <w:r>
        <w:t>2. Scope</w:t>
      </w:r>
    </w:p>
    <w:p>
      <w:pPr/>
      <w:r>
        <w:t>Use this SOP when:</w:t>
      </w:r>
    </w:p>
    <w:p>
      <w:pPr>
        <w:pStyle w:val="ListBullet"/>
      </w:pPr>
      <w:r>
        <w:t>[Included situation]</w:t>
      </w:r>
    </w:p>
    <w:p>
      <w:pPr>
        <w:pStyle w:val="ListBullet"/>
      </w:pPr>
      <w:r>
        <w:t>[Included situation]</w:t>
      </w:r>
    </w:p>
    <w:p>
      <w:pPr/>
      <w:r>
        <w:t>Do not use it for:</w:t>
      </w:r>
    </w:p>
    <w:p>
      <w:pPr>
        <w:pStyle w:val="ListBullet"/>
      </w:pPr>
      <w:r>
        <w:t>[Excluded or exceptional situation]</w:t>
      </w:r>
    </w:p>
    <w:p>
      <w:pPr>
        <w:pStyle w:val="ListBullet"/>
      </w:pPr>
      <w:r>
        <w:t>[Excluded or exceptional situation]</w:t>
      </w:r>
    </w:p>
    <w:p>
      <w:pPr>
        <w:pStyle w:val="BodyText"/>
      </w:pPr>
      <w:r>
        <w:rPr>
          <w:i/>
          <w:color w:val="4A5070"/>
        </w:rPr>
        <w:t>[State where excluded work should be routed.]</w:t>
      </w:r>
    </w:p>
    <w:p>
      <w:pPr>
        <w:pStyle w:val="Heading1"/>
      </w:pPr>
      <w:r>
        <w:t>3. Trigger and entry conditions</w:t>
      </w:r>
    </w:p>
    <w:p>
      <w:pPr/>
      <w:r>
        <w:t>Start when: [Observable event that begins the procedure.]</w:t>
      </w:r>
    </w:p>
    <w:p>
      <w:pPr/>
      <w:r>
        <w:t>Before beginning, confirm:</w:t>
      </w:r>
    </w:p>
    <w:p>
      <w:pPr>
        <w:pStyle w:val="ListBullet"/>
      </w:pPr>
      <w:r>
        <w:t>[Required information or approval]</w:t>
      </w:r>
    </w:p>
    <w:p>
      <w:pPr>
        <w:pStyle w:val="ListBullet"/>
      </w:pPr>
      <w:r>
        <w:t>[Required system state]</w:t>
      </w:r>
    </w:p>
    <w:p>
      <w:pPr>
        <w:pStyle w:val="ListBullet"/>
      </w:pPr>
      <w:r>
        <w:t>[Required access, role, or safety condition]</w:t>
      </w:r>
    </w:p>
    <w:p>
      <w:pPr/>
      <w:r>
        <w:t>If an entry condition is not met: [Stop, resolve, or escalation action.]</w:t>
      </w:r>
    </w:p>
    <w:p>
      <w:pPr>
        <w:pStyle w:val="Heading1"/>
      </w:pPr>
      <w:r>
        <w:t>4. Roles and responsibilities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AD4DE"/>
          <w:left w:val="single" w:sz="6" w:space="0" w:color="CAD4DE"/>
          <w:bottom w:val="single" w:sz="6" w:space="0" w:color="CAD4DE"/>
          <w:right w:val="single" w:sz="6" w:space="0" w:color="CAD4DE"/>
          <w:insideH w:val="single" w:sz="6" w:space="0" w:color="CAD4DE"/>
          <w:insideV w:val="single" w:sz="6" w:space="0" w:color="CAD4DE"/>
        </w:tblBorders>
        <w:tblInd w:w="180" w:type="dxa"/>
      </w:tblPr>
      <w:tblGrid>
        <w:gridCol w:w="2880"/>
        <w:gridCol w:w="6480"/>
      </w:tblGrid>
      <w:tr>
        <w:trPr>
          <w:tblHeader w:val="true"/>
          <w:cantSplit/>
        </w:trPr>
        <w:tc>
          <w:tcPr>
            <w:tcW w:type="dxa" w:w="28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64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Responsibility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[Role]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[What this role owns]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[Role]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[What this role approves, supports, or receives]</w:t>
            </w:r>
          </w:p>
        </w:tc>
      </w:tr>
    </w:tbl>
    <w:p>
      <w:pPr/>
    </w:p>
    <w:p>
      <w:pPr>
        <w:pStyle w:val="Heading1"/>
      </w:pPr>
      <w:r>
        <w:t>5. Required tools, systems, inputs, and references</w:t>
      </w:r>
    </w:p>
    <w:p>
      <w:pPr>
        <w:pStyle w:val="ListBullet"/>
      </w:pPr>
      <w:r>
        <w:t>[System, form, equipment, or approved source]</w:t>
      </w:r>
    </w:p>
    <w:p>
      <w:pPr>
        <w:pStyle w:val="ListBullet"/>
      </w:pPr>
      <w:r>
        <w:t>[Required input or identifier]</w:t>
      </w:r>
    </w:p>
    <w:p>
      <w:pPr>
        <w:pStyle w:val="ListBullet"/>
      </w:pPr>
      <w:r>
        <w:t>[Policy, checklist, or reference]</w:t>
      </w:r>
    </w:p>
    <w:p>
      <w:pPr/>
      <w:r>
        <w:t>Access and safety notes: [Permissions, protective equipment, privacy constraints, or prerequisites.]</w:t>
      </w:r>
    </w:p>
    <w:p>
      <w:pPr>
        <w:pStyle w:val="Heading1"/>
      </w:pPr>
      <w:r>
        <w:t>6. Step context pack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2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FF7DF"/>
            <w:tcMar>
              <w:top w:w="175" w:type="dxa"/>
              <w:start w:w="220" w:type="dxa"/>
              <w:bottom w:w="175" w:type="dxa"/>
              <w:end w:w="22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sz w:val="18"/>
              </w:rPr>
              <w:t>CONTEXT APERTURE  Map broadly, then isolate this step. Include only the information that changes its action, decision, control, or evidence. Record missing information as a gap; do not replace it with an assumption.</w:t>
            </w:r>
          </w:p>
        </w:tc>
      </w:tr>
    </w:tbl>
    <w:p>
      <w:pPr/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AD4DE"/>
          <w:left w:val="single" w:sz="6" w:space="0" w:color="CAD4DE"/>
          <w:bottom w:val="single" w:sz="6" w:space="0" w:color="CAD4DE"/>
          <w:right w:val="single" w:sz="6" w:space="0" w:color="CAD4DE"/>
          <w:insideH w:val="single" w:sz="6" w:space="0" w:color="CAD4DE"/>
          <w:insideV w:val="single" w:sz="6" w:space="0" w:color="CAD4DE"/>
        </w:tblBorders>
        <w:tblInd w:w="180" w:type="dxa"/>
      </w:tblPr>
      <w:tblGrid>
        <w:gridCol w:w="2880"/>
        <w:gridCol w:w="6480"/>
      </w:tblGrid>
      <w:tr>
        <w:trPr>
          <w:tblHeader w:val="true"/>
          <w:cantSplit/>
        </w:trPr>
        <w:tc>
          <w:tcPr>
            <w:tcW w:type="dxa" w:w="28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Pack element</w:t>
            </w:r>
          </w:p>
        </w:tc>
        <w:tc>
          <w:tcPr>
            <w:tcW w:type="dxa" w:w="64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Focused context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Trigger and input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[Observable event, case or object, and prerequisites]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Responsible role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[Person allowed and qualified to act or approve]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Exact location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[Named tool, screen, field, document or work area]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Local evidence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[Relevant policy fragment, source, normal example and edge case]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Decision threshold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[Observable rule and approved source for each branch]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Risk and control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[Failure to prevent, check to perform and escalation route]</w:t>
            </w:r>
          </w:p>
        </w:tc>
      </w:tr>
      <w:tr>
        <w:trPr>
          <w:cantSplit/>
        </w:trPr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Output and proof</w:t>
            </w:r>
          </w:p>
        </w:tc>
        <w:tc>
          <w:tcPr>
            <w:tcW w:type="dxa" w:w="64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[Expected state, handoff and evidence retained]</w:t>
            </w:r>
          </w:p>
        </w:tc>
      </w:tr>
    </w:tbl>
    <w:p>
      <w:pPr/>
    </w:p>
    <w:p>
      <w:pPr>
        <w:pStyle w:val="Heading1"/>
      </w:pPr>
      <w:r>
        <w:t>7. Procedure</w:t>
      </w:r>
    </w:p>
    <w:p>
      <w:pPr>
        <w:pStyle w:val="Heading2"/>
      </w:pPr>
      <w:r>
        <w:t>Step 1 — [Verb + object]</w:t>
      </w:r>
    </w:p>
    <w:p>
      <w:pPr>
        <w:spacing w:after="80"/>
        <w:ind w:left="540" w:hanging="271"/>
      </w:pPr>
      <w:r>
        <w:t>1.  [One observable action.]</w:t>
      </w:r>
    </w:p>
    <w:p>
      <w:pPr>
        <w:spacing w:after="80"/>
        <w:ind w:left="540" w:hanging="271"/>
      </w:pPr>
      <w:r>
        <w:t>2.  [Next action in chronological order.]</w:t>
      </w:r>
    </w:p>
    <w:p>
      <w:pPr>
        <w:spacing w:after="80"/>
        <w:ind w:left="540" w:hanging="271"/>
      </w:pPr>
      <w:r>
        <w:t>3.  [Where to record or verify the result.]</w:t>
      </w:r>
    </w:p>
    <w:p>
      <w:pPr/>
      <w:r>
        <w:t>Expected result: [What the user should see when this step is complete.]</w:t>
      </w:r>
    </w:p>
    <w:p>
      <w:pPr/>
      <w:r>
        <w:t>Control or hazard: [What can go wrong and the prevention or recovery action.]</w:t>
      </w:r>
    </w:p>
    <w:p>
      <w:pPr>
        <w:pStyle w:val="Heading2"/>
      </w:pPr>
      <w:r>
        <w:t>Step 2 — [Verb + object]</w:t>
      </w:r>
    </w:p>
    <w:p>
      <w:pPr>
        <w:spacing w:after="80"/>
        <w:ind w:left="540" w:hanging="271"/>
      </w:pPr>
      <w:r>
        <w:t>1.  [One observable action.]</w:t>
      </w:r>
    </w:p>
    <w:p>
      <w:pPr>
        <w:spacing w:after="80"/>
        <w:ind w:left="540" w:hanging="271"/>
      </w:pPr>
      <w:r>
        <w:t>2.  [Next action.]</w:t>
      </w:r>
    </w:p>
    <w:p>
      <w:pPr/>
      <w:r>
        <w:t>Decision:</w:t>
      </w:r>
    </w:p>
    <w:p>
      <w:pPr>
        <w:pStyle w:val="ListBullet"/>
      </w:pPr>
      <w:r>
        <w:t>If [observable condition], then [specific action].</w:t>
      </w:r>
    </w:p>
    <w:p>
      <w:pPr>
        <w:pStyle w:val="ListBullet"/>
      </w:pPr>
      <w:r>
        <w:t>If [alternative condition], then [specific action or escalation].</w:t>
      </w:r>
    </w:p>
    <w:p>
      <w:pPr>
        <w:pStyle w:val="ListBullet"/>
      </w:pPr>
      <w:r>
        <w:t>Otherwise, [default path].</w:t>
      </w:r>
    </w:p>
    <w:p>
      <w:pPr>
        <w:pStyle w:val="Heading2"/>
      </w:pPr>
      <w:r>
        <w:t>Step 3 — [Verb + object]</w:t>
      </w:r>
    </w:p>
    <w:p>
      <w:pPr>
        <w:spacing w:after="80"/>
        <w:ind w:left="540" w:hanging="271"/>
      </w:pPr>
      <w:r>
        <w:t>1.  [One observable action.]</w:t>
      </w:r>
    </w:p>
    <w:p>
      <w:pPr>
        <w:spacing w:after="80"/>
        <w:ind w:left="540" w:hanging="271"/>
      </w:pPr>
      <w:r>
        <w:t>2.  [Next action.]</w:t>
      </w:r>
    </w:p>
    <w:p>
      <w:pPr/>
      <w:r>
        <w:t>Expected result: [Observable output.]</w:t>
      </w:r>
    </w:p>
    <w:p>
      <w:pPr>
        <w:pStyle w:val="BodyText"/>
      </w:pPr>
      <w:r>
        <w:rPr>
          <w:i/>
          <w:color w:val="4A5070"/>
        </w:rPr>
        <w:t>Add or remove steps as needed. Keep one main action per numbered instruction. Put warnings before the risky action.</w:t>
      </w:r>
    </w:p>
    <w:p>
      <w:pPr>
        <w:pStyle w:val="Heading1"/>
      </w:pPr>
      <w:r>
        <w:t>8. Quality checks</w:t>
      </w:r>
    </w:p>
    <w:p>
      <w:pPr>
        <w:pStyle w:val="ListBullet"/>
      </w:pPr>
      <w:r>
        <w:t>[Accuracy check]</w:t>
      </w:r>
    </w:p>
    <w:p>
      <w:pPr>
        <w:pStyle w:val="ListBullet"/>
      </w:pPr>
      <w:r>
        <w:t>[Completeness check]</w:t>
      </w:r>
    </w:p>
    <w:p>
      <w:pPr>
        <w:pStyle w:val="ListBullet"/>
      </w:pPr>
      <w:r>
        <w:t>[Compliance, safety, or privacy check]</w:t>
      </w:r>
    </w:p>
    <w:p>
      <w:pPr>
        <w:pStyle w:val="ListBullet"/>
      </w:pPr>
      <w:r>
        <w:t>[Required evidence has been recorded]</w:t>
      </w:r>
    </w:p>
    <w:p>
      <w:pPr>
        <w:pStyle w:val="Heading1"/>
      </w:pPr>
      <w:r>
        <w:t>9. Expected output and completion criteria</w:t>
      </w:r>
    </w:p>
    <w:p>
      <w:pPr>
        <w:pStyle w:val="ListBullet"/>
      </w:pPr>
      <w:r>
        <w:t>[Observable final state]</w:t>
      </w:r>
    </w:p>
    <w:p>
      <w:pPr>
        <w:pStyle w:val="ListBullet"/>
      </w:pPr>
      <w:r>
        <w:t>[Required record or handoff exists]</w:t>
      </w:r>
    </w:p>
    <w:p>
      <w:pPr>
        <w:pStyle w:val="ListBullet"/>
      </w:pPr>
      <w:r>
        <w:t>[Recipient or downstream owner can proceed]</w:t>
      </w:r>
    </w:p>
    <w:p>
      <w:pPr>
        <w:pStyle w:val="Heading1"/>
      </w:pPr>
      <w:r>
        <w:t>10. Exceptions and escalation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AD4DE"/>
          <w:left w:val="single" w:sz="6" w:space="0" w:color="CAD4DE"/>
          <w:bottom w:val="single" w:sz="6" w:space="0" w:color="CAD4DE"/>
          <w:right w:val="single" w:sz="6" w:space="0" w:color="CAD4DE"/>
          <w:insideH w:val="single" w:sz="6" w:space="0" w:color="CAD4DE"/>
          <w:insideV w:val="single" w:sz="6" w:space="0" w:color="CAD4DE"/>
        </w:tblBorders>
        <w:tblInd w:w="180" w:type="dxa"/>
      </w:tblPr>
      <w:tblGrid>
        <w:gridCol w:w="2088"/>
        <w:gridCol w:w="2880"/>
        <w:gridCol w:w="2015"/>
        <w:gridCol w:w="2377"/>
      </w:tblGrid>
      <w:tr>
        <w:trPr>
          <w:tblHeader w:val="true"/>
          <w:cantSplit/>
        </w:trPr>
        <w:tc>
          <w:tcPr>
            <w:tcW w:type="dxa" w:w="2088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Condition</w:t>
            </w:r>
          </w:p>
        </w:tc>
        <w:tc>
          <w:tcPr>
            <w:tcW w:type="dxa" w:w="288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Immediate action</w:t>
            </w:r>
          </w:p>
        </w:tc>
        <w:tc>
          <w:tcPr>
            <w:tcW w:type="dxa" w:w="2015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Escalate to</w:t>
            </w:r>
          </w:p>
        </w:tc>
        <w:tc>
          <w:tcPr>
            <w:tcW w:type="dxa" w:w="2377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Evidence</w:t>
            </w:r>
          </w:p>
        </w:tc>
      </w:tr>
      <w:tr>
        <w:trPr>
          <w:cantSplit/>
        </w:trPr>
        <w:tc>
          <w:tcPr>
            <w:tcW w:type="dxa" w:w="2088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[Exception]</w:t>
            </w:r>
          </w:p>
        </w:tc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[Stop, contain, retry, or route]</w:t>
            </w:r>
          </w:p>
        </w:tc>
        <w:tc>
          <w:tcPr>
            <w:tcW w:type="dxa" w:w="2015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[Role or queue]</w:t>
            </w:r>
          </w:p>
        </w:tc>
        <w:tc>
          <w:tcPr>
            <w:tcW w:type="dxa" w:w="2377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[Record or approval]</w:t>
            </w:r>
          </w:p>
        </w:tc>
      </w:tr>
      <w:tr>
        <w:trPr>
          <w:cantSplit/>
        </w:trPr>
        <w:tc>
          <w:tcPr>
            <w:tcW w:type="dxa" w:w="2088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[Exception]</w:t>
            </w:r>
          </w:p>
        </w:tc>
        <w:tc>
          <w:tcPr>
            <w:tcW w:type="dxa" w:w="288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[Action]</w:t>
            </w:r>
          </w:p>
        </w:tc>
        <w:tc>
          <w:tcPr>
            <w:tcW w:type="dxa" w:w="2015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[Role or queue]</w:t>
            </w:r>
          </w:p>
        </w:tc>
        <w:tc>
          <w:tcPr>
            <w:tcW w:type="dxa" w:w="2377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[Evidence]</w:t>
            </w:r>
          </w:p>
        </w:tc>
      </w:tr>
    </w:tbl>
    <w:p>
      <w:pPr/>
    </w:p>
    <w:p>
      <w:pPr>
        <w:pStyle w:val="Heading1"/>
      </w:pPr>
      <w:r>
        <w:t>11. Records and evidence</w:t>
      </w:r>
    </w:p>
    <w:p>
      <w:pPr>
        <w:pStyle w:val="ListBullet"/>
      </w:pPr>
      <w:r>
        <w:t>Record: [What must be captured]</w:t>
      </w:r>
    </w:p>
    <w:p>
      <w:pPr>
        <w:pStyle w:val="ListBullet"/>
      </w:pPr>
      <w:r>
        <w:t>Store in: [Approved system or location]</w:t>
      </w:r>
    </w:p>
    <w:p>
      <w:pPr>
        <w:pStyle w:val="ListBullet"/>
      </w:pPr>
      <w:r>
        <w:t>Retain for: [Retention period or policy reference]</w:t>
      </w:r>
    </w:p>
    <w:p>
      <w:pPr>
        <w:pStyle w:val="ListBullet"/>
      </w:pPr>
      <w:r>
        <w:t>Never record: [Secrets, unnecessary personal data, or prohibited content]</w:t>
      </w:r>
    </w:p>
    <w:p>
      <w:pPr>
        <w:pStyle w:val="Heading1"/>
      </w:pPr>
      <w:r>
        <w:t>12. Validation</w:t>
      </w:r>
    </w:p>
    <w:p>
      <w:pPr/>
      <w:r>
        <w:t>Test the draft with: [Representative user who did not write it.]</w:t>
      </w:r>
    </w:p>
    <w:p>
      <w:pPr/>
      <w:r>
        <w:t>Observe and record:</w:t>
      </w:r>
    </w:p>
    <w:p>
      <w:pPr>
        <w:pStyle w:val="ListBullet"/>
      </w:pPr>
      <w:r>
        <w:t>steps that require explanation;</w:t>
      </w:r>
    </w:p>
    <w:p>
      <w:pPr>
        <w:pStyle w:val="ListBullet"/>
      </w:pPr>
      <w:r>
        <w:t>choices the user cannot make from the written information;</w:t>
      </w:r>
    </w:p>
    <w:p>
      <w:pPr>
        <w:pStyle w:val="ListBullet"/>
      </w:pPr>
      <w:r>
        <w:t>errors, rework, or unsafe actions;</w:t>
      </w:r>
    </w:p>
    <w:p>
      <w:pPr>
        <w:pStyle w:val="ListBullet"/>
      </w:pPr>
      <w:r>
        <w:t>missing tools, permissions, or inputs;</w:t>
      </w:r>
    </w:p>
    <w:p>
      <w:pPr>
        <w:pStyle w:val="ListBullet"/>
      </w:pPr>
      <w:r>
        <w:t>completion time and quality result.</w:t>
      </w:r>
    </w:p>
    <w:p>
      <w:pPr/>
      <w:r>
        <w:t>Resolve critical findings before approval.</w:t>
      </w:r>
    </w:p>
    <w:p>
      <w:pPr>
        <w:pStyle w:val="Heading1"/>
      </w:pPr>
      <w:r>
        <w:t>13. Approval, publication, and maintenance</w:t>
      </w:r>
    </w:p>
    <w:p>
      <w:pPr>
        <w:pStyle w:val="ListBullet"/>
      </w:pPr>
      <w:r>
        <w:t>Approval requirements: [Roles or evidence required]</w:t>
      </w:r>
    </w:p>
    <w:p>
      <w:pPr>
        <w:pStyle w:val="ListBullet"/>
      </w:pPr>
      <w:r>
        <w:t>Published location: [Single source of truth]</w:t>
      </w:r>
    </w:p>
    <w:p>
      <w:pPr>
        <w:pStyle w:val="ListBullet"/>
      </w:pPr>
      <w:r>
        <w:t>Change owner: [Role]</w:t>
      </w:r>
    </w:p>
    <w:p>
      <w:pPr>
        <w:pStyle w:val="ListBullet"/>
      </w:pPr>
      <w:r>
        <w:t>Review frequency: [Time-based and event-based triggers]</w:t>
      </w:r>
    </w:p>
    <w:p>
      <w:pPr>
        <w:pStyle w:val="ListBullet"/>
      </w:pPr>
      <w:r>
        <w:t>Retired versions: [Archive or disposal rule]</w:t>
      </w:r>
    </w:p>
    <w:p>
      <w:pPr>
        <w:pStyle w:val="Heading1"/>
      </w:pPr>
      <w:r>
        <w:t>Revision history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AD4DE"/>
          <w:left w:val="single" w:sz="6" w:space="0" w:color="CAD4DE"/>
          <w:bottom w:val="single" w:sz="6" w:space="0" w:color="CAD4DE"/>
          <w:right w:val="single" w:sz="6" w:space="0" w:color="CAD4DE"/>
          <w:insideH w:val="single" w:sz="6" w:space="0" w:color="CAD4DE"/>
          <w:insideV w:val="single" w:sz="6" w:space="0" w:color="CAD4DE"/>
        </w:tblBorders>
        <w:tblInd w:w="180" w:type="dxa"/>
      </w:tblPr>
      <w:tblGrid>
        <w:gridCol w:w="1440"/>
        <w:gridCol w:w="2015"/>
        <w:gridCol w:w="3600"/>
        <w:gridCol w:w="2305"/>
      </w:tblGrid>
      <w:tr>
        <w:trPr>
          <w:tblHeader w:val="true"/>
          <w:cantSplit/>
        </w:trPr>
        <w:tc>
          <w:tcPr>
            <w:tcW w:type="dxa" w:w="144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Version</w:t>
            </w:r>
          </w:p>
        </w:tc>
        <w:tc>
          <w:tcPr>
            <w:tcW w:type="dxa" w:w="2015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type="dxa" w:w="3600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Change</w:t>
            </w:r>
          </w:p>
        </w:tc>
        <w:tc>
          <w:tcPr>
            <w:tcW w:type="dxa" w:w="2305"/>
            <w:shd w:fill="16171F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rPr>
                <w:b/>
                <w:color w:val="FFFFFF"/>
              </w:rPr>
              <w:t>Author / approver</w:t>
            </w:r>
          </w:p>
        </w:tc>
      </w:tr>
      <w:tr>
        <w:trPr>
          <w:cantSplit/>
        </w:trPr>
        <w:tc>
          <w:tcPr>
            <w:tcW w:type="dxa" w:w="144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[0.1]</w:t>
            </w:r>
          </w:p>
        </w:tc>
        <w:tc>
          <w:tcPr>
            <w:tcW w:type="dxa" w:w="2015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[YYYY-MM-DD]</w:t>
            </w:r>
          </w:p>
        </w:tc>
        <w:tc>
          <w:tcPr>
            <w:tcW w:type="dxa" w:w="3600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[Initial draft]</w:t>
            </w:r>
          </w:p>
        </w:tc>
        <w:tc>
          <w:tcPr>
            <w:tcW w:type="dxa" w:w="2305"/>
            <w:tcMar>
              <w:top w:w="145" w:type="dxa"/>
              <w:start w:w="180" w:type="dxa"/>
              <w:bottom w:w="145" w:type="dxa"/>
              <w:end w:w="180" w:type="dxa"/>
            </w:tcMar>
            <w:vAlign w:val="center"/>
          </w:tcPr>
          <w:p>
            <w:pPr>
              <w:spacing w:before="20" w:after="20" w:line="276" w:lineRule="auto"/>
            </w:pPr>
            <w:r>
              <w:t>[Name or role]</w:t>
            </w:r>
          </w:p>
        </w:tc>
      </w:tr>
    </w:tbl>
    <w:p>
      <w:pPr/>
    </w:p>
    <w:p>
      <w:pPr>
        <w:pStyle w:val="Heading1"/>
      </w:pPr>
      <w:r>
        <w:t>Working notes</w:t>
      </w:r>
    </w:p>
    <w:p>
      <w:pPr>
        <w:pStyle w:val="BodyText"/>
      </w:pPr>
      <w:r>
        <w:rPr>
          <w:i/>
          <w:color w:val="4A5070"/>
        </w:rPr>
        <w:t>[Record organisation-specific controls, rollout actions, training requirements, or unresolved questions here. Remove this section before approval if it is not needed.]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A5070"/>
        <w:sz w:val="16"/>
      </w:rPr>
      <w:t>AITOC.io  •  Human-executed SOP template  •  Review, test, approve, and maintain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  <w:tblInd w:w="0" w:type="dxa"/>
    </w:tblPr>
    <w:tblGrid>
      <w:gridCol w:w="6840"/>
      <w:gridCol w:w="2520"/>
    </w:tblGrid>
    <w:tr>
      <w:trPr>
        <w:tblHeader w:val="true"/>
      </w:trPr>
      <w:tc>
        <w:tcPr>
          <w:tcW w:type="dxa" w:w="6840"/>
          <w:shd w:fill="16171F"/>
          <w:tcMar>
            <w:top w:w="70" w:type="dxa"/>
            <w:start w:w="120" w:type="dxa"/>
            <w:bottom w:w="70" w:type="dxa"/>
            <w:end w:w="120" w:type="dxa"/>
          </w:tcMar>
          <w:vAlign w:val="center"/>
        </w:tcPr>
        <w:p>
          <w:pPr>
            <w:jc w:val="left"/>
          </w:pPr>
          <w:r>
            <w:rPr>
              <w:b/>
              <w:color w:val="FFFFFF"/>
              <w:sz w:val="17"/>
            </w:rPr>
          </w:r>
          <w:r>
            <w:rPr>
              <w:b/>
              <w:color w:val="FFFFFF"/>
              <w:sz w:val="17"/>
            </w:rPr>
            <w:drawing>
              <wp:inline xmlns:a="http://schemas.openxmlformats.org/drawingml/2006/main" xmlns:pic="http://schemas.openxmlformats.org/drawingml/2006/picture">
                <wp:extent cx="173736" cy="145228"/>
                <wp:docPr id="1" name="Picture 1" descr="AITOC brand mark" title="AITOC brand mark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itoc-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" cy="14522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b/>
              <w:color w:val="FFFFFF"/>
              <w:sz w:val="17"/>
            </w:rPr>
            <w:t xml:space="preserve">  AITOC.io  /  OPERATIONS TRAINING</w:t>
          </w:r>
        </w:p>
      </w:tc>
      <w:tc>
        <w:tcPr>
          <w:tcW w:type="dxa" w:w="2520"/>
          <w:shd w:fill="16171F"/>
          <w:tcMar>
            <w:top w:w="70" w:type="dxa"/>
            <w:start w:w="120" w:type="dxa"/>
            <w:bottom w:w="70" w:type="dxa"/>
            <w:end w:w="120" w:type="dxa"/>
          </w:tcMar>
          <w:vAlign w:val="center"/>
        </w:tcPr>
        <w:p>
          <w:pPr>
            <w:jc w:val="right"/>
          </w:pPr>
          <w:r>
            <w:rPr>
              <w:b/>
              <w:color w:val="FFFFFF"/>
              <w:sz w:val="17"/>
            </w:rPr>
            <w:t>BLANK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suff w:val="tab"/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suff w:val="tab"/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540"/>
        </w:tabs>
        <w:ind w:left="540" w:hanging="270"/>
      </w:pPr>
      <w:suff w:val="tab"/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540"/>
        </w:tabs>
        <w:ind w:left="540" w:hanging="270"/>
      </w:pPr>
      <w:suff w:val="tab"/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 w:hint="default"/>
      </w:rPr>
      <w:suff w:val="tab"/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 w:hint="default"/>
      </w:rPr>
      <w:suff w:val="tab"/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 w:hint="default"/>
      </w:rPr>
      <w:suff w:val="tab"/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540"/>
        </w:tabs>
        <w:ind w:left="540" w:hanging="270"/>
      </w:pPr>
      <w:suff w:val="tab"/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 w:hint="default"/>
      </w:rPr>
      <w:suff w:val="tab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Arial" w:hAnsi="Arial"/>
      <w:color w:val="1617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F2C14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F2C1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617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5" w:color="F2C14E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6171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6" w:lineRule="auto"/>
      <w:ind w:left="540" w:hanging="271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6" w:lineRule="auto"/>
      <w:ind w:left="540" w:hanging="271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AITOC Blank SOP Template</dc:title>
  <dc:subject>AITOC focused-context, human-executed standard operating procedure template</dc:subject>
  <dc:creator>AITOC</dc:creator>
  <cp:keywords>AITOC, SOP, focused context, standard operating procedure, template, human training</cp:keywords>
  <dc:description>generated by python-docx</dc:description>
  <cp:lastModifiedBy>AITOC</cp:lastModifiedBy>
  <cp:revision>1</cp:revision>
  <dcterms:created xsi:type="dcterms:W3CDTF">2013-12-23T23:15:00Z</dcterms:created>
  <dcterms:modified xsi:type="dcterms:W3CDTF">2013-12-23T23:15:00Z</dcterms:modified>
  <cp:category/>
</cp:coreProperties>
</file>